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870B" w14:textId="0E658EB3" w:rsidR="00A77230" w:rsidRDefault="00F44A66" w:rsidP="000D2679">
      <w:pPr>
        <w:pStyle w:val="Heading2like0"/>
      </w:pPr>
      <w:r>
        <w:t>Seasonal Availability</w:t>
      </w:r>
    </w:p>
    <w:p w14:paraId="52A051B7" w14:textId="77777777" w:rsidR="00B24B70" w:rsidRDefault="00B24B70" w:rsidP="00B24B70">
      <w:r>
        <w:rPr>
          <w:noProof/>
        </w:rPr>
        <w:drawing>
          <wp:anchor distT="0" distB="0" distL="114300" distR="114300" simplePos="0" relativeHeight="251659264" behindDoc="0" locked="0" layoutInCell="1" allowOverlap="1" wp14:anchorId="01E4F51D" wp14:editId="479C18B3">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7"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6B6BAF45" w14:textId="77777777" w:rsidR="00B24B70" w:rsidRDefault="00B24B70" w:rsidP="00B24B70">
      <w:pPr>
        <w:pStyle w:val="Heading5Like"/>
      </w:pPr>
      <w:r>
        <w:t>Revision Date</w:t>
      </w:r>
    </w:p>
    <w:p w14:paraId="1D2FE972" w14:textId="614F0CEC" w:rsidR="00B24B70" w:rsidRDefault="00FA301F" w:rsidP="00B24B70">
      <w:r>
        <w:t>Ju</w:t>
      </w:r>
      <w:r w:rsidR="00477D8C">
        <w:t>ly 14</w:t>
      </w:r>
      <w:r w:rsidR="000D2679">
        <w:t>,</w:t>
      </w:r>
      <w:r w:rsidR="00B24B70">
        <w:t xml:space="preserve"> 2022</w:t>
      </w:r>
    </w:p>
    <w:p w14:paraId="521B8C29" w14:textId="5BFC9145" w:rsidR="00B24B70" w:rsidRDefault="00B24B70" w:rsidP="00B24B70"/>
    <w:p w14:paraId="035DDE22" w14:textId="77777777" w:rsidR="000D2679" w:rsidRDefault="000D2679" w:rsidP="00B24B70"/>
    <w:p w14:paraId="65595D4B" w14:textId="0AC0D2C4" w:rsidR="005515B4" w:rsidRDefault="005515B4" w:rsidP="00B24B70">
      <w:pPr>
        <w:rPr>
          <w:rFonts w:eastAsia="Times New Roman"/>
        </w:rPr>
      </w:pPr>
      <w:r>
        <w:t xml:space="preserve">Beginning with </w:t>
      </w:r>
      <w:r w:rsidR="00B24B70">
        <w:t>the GG Server Release 2.</w:t>
      </w:r>
      <w:r w:rsidR="000D2679">
        <w:t>3</w:t>
      </w:r>
      <w:r w:rsidR="00B24B70">
        <w:t xml:space="preserve">, it became possible to </w:t>
      </w:r>
      <w:r>
        <w:rPr>
          <w:rFonts w:eastAsia="Times New Roman"/>
        </w:rPr>
        <w:t xml:space="preserve">manage the time of year when NPGS material is displayed as available for requesting. This seasonal availability concept is particularly applicable to temperate clonal collections where dormant vegetative material is the form most frequently distributed. </w:t>
      </w:r>
    </w:p>
    <w:p w14:paraId="05DCE142" w14:textId="706A55EB" w:rsidR="00B24B70" w:rsidRDefault="00B24B70" w:rsidP="00B24B70">
      <w:r>
        <w:t xml:space="preserve">This document includes </w:t>
      </w:r>
      <w:r w:rsidR="005515B4">
        <w:t>the changes pertinent to this new capability. The main Inventory Guide [</w:t>
      </w:r>
      <w:hyperlink r:id="rId8" w:history="1">
        <w:r w:rsidR="00F13641" w:rsidRPr="00F13641">
          <w:rPr>
            <w:rStyle w:val="Hyperlink"/>
          </w:rPr>
          <w:t>http://grin-global.org/docs/gg_inventory.pdf</w:t>
        </w:r>
      </w:hyperlink>
      <w:r w:rsidR="00F13641">
        <w:t>]</w:t>
      </w:r>
      <w:r w:rsidR="005515B4">
        <w:t xml:space="preserve"> contains details on inventory records. The two documents are complementary. </w:t>
      </w:r>
    </w:p>
    <w:p w14:paraId="05BA44B9" w14:textId="77777777" w:rsidR="00B24B70" w:rsidRDefault="00B24B70" w:rsidP="00B24B70"/>
    <w:tbl>
      <w:tblPr>
        <w:tblW w:w="9648" w:type="dxa"/>
        <w:shd w:val="clear" w:color="000000" w:fill="FFFFFF"/>
        <w:tblLayout w:type="fixed"/>
        <w:tblLook w:val="04A0" w:firstRow="1" w:lastRow="0" w:firstColumn="1" w:lastColumn="0" w:noHBand="0" w:noVBand="1"/>
      </w:tblPr>
      <w:tblGrid>
        <w:gridCol w:w="810"/>
        <w:gridCol w:w="8838"/>
      </w:tblGrid>
      <w:tr w:rsidR="00B24B70" w:rsidRPr="00DA32A5" w14:paraId="5BCDB749" w14:textId="77777777" w:rsidTr="00530224">
        <w:tc>
          <w:tcPr>
            <w:tcW w:w="810" w:type="dxa"/>
            <w:shd w:val="clear" w:color="000000" w:fill="FFFFFF"/>
          </w:tcPr>
          <w:p w14:paraId="55EB12F8" w14:textId="77777777" w:rsidR="00B24B70" w:rsidRPr="00DA32A5" w:rsidRDefault="00B24B70" w:rsidP="00530224">
            <w:pPr>
              <w:pStyle w:val="NormalInTble"/>
            </w:pPr>
            <w:r>
              <w:rPr>
                <w:noProof/>
              </w:rPr>
              <w:drawing>
                <wp:inline distT="0" distB="0" distL="0" distR="0" wp14:anchorId="4A6C6997" wp14:editId="3C1B992D">
                  <wp:extent cx="368300" cy="444500"/>
                  <wp:effectExtent l="0" t="0" r="0" b="0"/>
                  <wp:docPr id="38" name="Picture 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 blue sign with white tex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3643A2EA" w14:textId="77777777" w:rsidR="00B24B70" w:rsidRPr="0053077B" w:rsidRDefault="00B24B70" w:rsidP="00530224">
            <w:pPr>
              <w:pStyle w:val="NormalInTble"/>
              <w:rPr>
                <w:szCs w:val="22"/>
              </w:rPr>
            </w:pPr>
            <w:r>
              <w:rPr>
                <w:szCs w:val="22"/>
              </w:rPr>
              <w:t xml:space="preserve">Please send any questions related to the wizard to </w:t>
            </w:r>
            <w:hyperlink r:id="rId10" w:history="1">
              <w:r w:rsidRPr="00F86490">
                <w:rPr>
                  <w:rStyle w:val="Hyperlink"/>
                  <w:szCs w:val="22"/>
                </w:rPr>
                <w:t>marty.reisinger@usda.gov</w:t>
              </w:r>
            </w:hyperlink>
            <w:r>
              <w:rPr>
                <w:szCs w:val="22"/>
              </w:rPr>
              <w:t xml:space="preserve"> or </w:t>
            </w:r>
            <w:hyperlink r:id="rId11" w:history="1">
              <w:r w:rsidRPr="00824E13">
                <w:rPr>
                  <w:rStyle w:val="Hyperlink"/>
                  <w:szCs w:val="22"/>
                </w:rPr>
                <w:t>feedback@ars-grin.gov</w:t>
              </w:r>
            </w:hyperlink>
            <w:r>
              <w:rPr>
                <w:szCs w:val="22"/>
              </w:rPr>
              <w:t>.</w:t>
            </w:r>
          </w:p>
        </w:tc>
      </w:tr>
    </w:tbl>
    <w:p w14:paraId="7DFD41E9" w14:textId="77777777" w:rsidR="00B24B70" w:rsidRDefault="00B24B70" w:rsidP="00B24B70"/>
    <w:p w14:paraId="77D6720A" w14:textId="54ED30BF" w:rsidR="00B24B70" w:rsidRDefault="00B24B70" w:rsidP="00B24B70">
      <w:r>
        <w:t xml:space="preserve">The </w:t>
      </w:r>
      <w:r w:rsidRPr="000754D8">
        <w:t>Appendix</w:t>
      </w:r>
      <w:r>
        <w:t xml:space="preserve"> contains </w:t>
      </w:r>
      <w:hyperlink w:anchor="change_notes" w:history="1">
        <w:r w:rsidRPr="000754D8">
          <w:rPr>
            <w:rStyle w:val="Hyperlink"/>
          </w:rPr>
          <w:t>change notes</w:t>
        </w:r>
      </w:hyperlink>
      <w:r>
        <w:t xml:space="preserve"> pertaining to this document.</w:t>
      </w:r>
    </w:p>
    <w:p w14:paraId="78E1E722" w14:textId="431F7E91" w:rsidR="00B24B70" w:rsidRDefault="00B24B70" w:rsidP="00B24B70"/>
    <w:p w14:paraId="2A474DB4" w14:textId="0C7CC1BE" w:rsidR="000D2679" w:rsidRDefault="000D2679" w:rsidP="00B24B70"/>
    <w:p w14:paraId="29215736" w14:textId="77777777" w:rsidR="000D2679" w:rsidRDefault="000D2679" w:rsidP="00B24B70"/>
    <w:p w14:paraId="2B9E1FC8" w14:textId="77777777" w:rsidR="00B24B70" w:rsidRDefault="00B24B70" w:rsidP="00B24B70">
      <w:pPr>
        <w:pStyle w:val="Heading5Like"/>
      </w:pPr>
      <w:r>
        <w:t>Author</w:t>
      </w:r>
    </w:p>
    <w:p w14:paraId="5020C796" w14:textId="4D52F76D" w:rsidR="00F13641" w:rsidRDefault="00B24B70" w:rsidP="00B24B70">
      <w:r>
        <w:t>Martin Reisinger</w:t>
      </w:r>
    </w:p>
    <w:p w14:paraId="02EAF588" w14:textId="0ADA0939" w:rsidR="00F13641" w:rsidRDefault="00F13641" w:rsidP="00B24B70"/>
    <w:p w14:paraId="69A086A1" w14:textId="77777777" w:rsidR="00F13641" w:rsidRDefault="00F13641" w:rsidP="00B24B70"/>
    <w:p w14:paraId="6C35FF3D" w14:textId="5F10745D" w:rsidR="000D2679" w:rsidRDefault="000D2679">
      <w:pPr>
        <w:spacing w:after="160" w:line="259" w:lineRule="auto"/>
      </w:pPr>
      <w:r>
        <w:br w:type="page"/>
      </w:r>
    </w:p>
    <w:p w14:paraId="154D0036" w14:textId="77777777" w:rsidR="00B24B70" w:rsidRDefault="00B24B70" w:rsidP="000D2679"/>
    <w:p w14:paraId="6E8DC137" w14:textId="77777777" w:rsidR="00B24B70" w:rsidRDefault="00B24B70" w:rsidP="00B24B70">
      <w:pPr>
        <w:pStyle w:val="Heading3Like"/>
        <w:spacing w:before="0" w:after="120"/>
      </w:pPr>
      <w:r>
        <w:t>TOC</w:t>
      </w:r>
    </w:p>
    <w:p w14:paraId="4F3A5723" w14:textId="77777777" w:rsidR="00B24B70" w:rsidRPr="00FC3FAE" w:rsidRDefault="00B24B70" w:rsidP="00B24B70"/>
    <w:p w14:paraId="4B1EF6F5" w14:textId="52214E76" w:rsidR="00715FD6" w:rsidRDefault="00B24B70">
      <w:pPr>
        <w:pStyle w:val="TOC2"/>
        <w:rPr>
          <w:rFonts w:asciiTheme="minorHAnsi" w:eastAsiaTheme="minorEastAsia" w:hAnsiTheme="minorHAnsi" w:cstheme="minorBidi"/>
          <w:noProof/>
          <w:lang w:eastAsia="en-US"/>
        </w:rPr>
      </w:pPr>
      <w:r>
        <w:fldChar w:fldCharType="begin"/>
      </w:r>
      <w:r>
        <w:instrText xml:space="preserve"> TOC \h \z \t "Heading 3,2, Heading 4,2, Heading 5,3," </w:instrText>
      </w:r>
      <w:r>
        <w:fldChar w:fldCharType="separate"/>
      </w:r>
      <w:hyperlink w:anchor="_Toc108704541" w:history="1">
        <w:r w:rsidR="00715FD6" w:rsidRPr="006701B6">
          <w:rPr>
            <w:rStyle w:val="Hyperlink"/>
            <w:noProof/>
          </w:rPr>
          <w:t>Background</w:t>
        </w:r>
        <w:r w:rsidR="00715FD6">
          <w:rPr>
            <w:noProof/>
            <w:webHidden/>
          </w:rPr>
          <w:tab/>
        </w:r>
        <w:r w:rsidR="00715FD6">
          <w:rPr>
            <w:noProof/>
            <w:webHidden/>
          </w:rPr>
          <w:fldChar w:fldCharType="begin"/>
        </w:r>
        <w:r w:rsidR="00715FD6">
          <w:rPr>
            <w:noProof/>
            <w:webHidden/>
          </w:rPr>
          <w:instrText xml:space="preserve"> PAGEREF _Toc108704541 \h </w:instrText>
        </w:r>
        <w:r w:rsidR="00715FD6">
          <w:rPr>
            <w:noProof/>
            <w:webHidden/>
          </w:rPr>
        </w:r>
        <w:r w:rsidR="00715FD6">
          <w:rPr>
            <w:noProof/>
            <w:webHidden/>
          </w:rPr>
          <w:fldChar w:fldCharType="separate"/>
        </w:r>
        <w:r w:rsidR="00715FD6">
          <w:rPr>
            <w:noProof/>
            <w:webHidden/>
          </w:rPr>
          <w:t>3</w:t>
        </w:r>
        <w:r w:rsidR="00715FD6">
          <w:rPr>
            <w:noProof/>
            <w:webHidden/>
          </w:rPr>
          <w:fldChar w:fldCharType="end"/>
        </w:r>
      </w:hyperlink>
    </w:p>
    <w:p w14:paraId="7DF4DF1B" w14:textId="6A80A2F1" w:rsidR="00715FD6" w:rsidRDefault="00000000">
      <w:pPr>
        <w:pStyle w:val="TOC3"/>
        <w:rPr>
          <w:rFonts w:asciiTheme="minorHAnsi" w:eastAsiaTheme="minorEastAsia" w:hAnsiTheme="minorHAnsi" w:cstheme="minorBidi"/>
          <w:noProof/>
          <w:lang w:eastAsia="en-US"/>
        </w:rPr>
      </w:pPr>
      <w:hyperlink w:anchor="_Toc108704542" w:history="1">
        <w:r w:rsidR="00715FD6" w:rsidRPr="006701B6">
          <w:rPr>
            <w:rStyle w:val="Hyperlink"/>
            <w:noProof/>
          </w:rPr>
          <w:t>The Basics</w:t>
        </w:r>
        <w:r w:rsidR="00715FD6">
          <w:rPr>
            <w:noProof/>
            <w:webHidden/>
          </w:rPr>
          <w:tab/>
        </w:r>
        <w:r w:rsidR="00715FD6">
          <w:rPr>
            <w:noProof/>
            <w:webHidden/>
          </w:rPr>
          <w:fldChar w:fldCharType="begin"/>
        </w:r>
        <w:r w:rsidR="00715FD6">
          <w:rPr>
            <w:noProof/>
            <w:webHidden/>
          </w:rPr>
          <w:instrText xml:space="preserve"> PAGEREF _Toc108704542 \h </w:instrText>
        </w:r>
        <w:r w:rsidR="00715FD6">
          <w:rPr>
            <w:noProof/>
            <w:webHidden/>
          </w:rPr>
        </w:r>
        <w:r w:rsidR="00715FD6">
          <w:rPr>
            <w:noProof/>
            <w:webHidden/>
          </w:rPr>
          <w:fldChar w:fldCharType="separate"/>
        </w:r>
        <w:r w:rsidR="00715FD6">
          <w:rPr>
            <w:noProof/>
            <w:webHidden/>
          </w:rPr>
          <w:t>4</w:t>
        </w:r>
        <w:r w:rsidR="00715FD6">
          <w:rPr>
            <w:noProof/>
            <w:webHidden/>
          </w:rPr>
          <w:fldChar w:fldCharType="end"/>
        </w:r>
      </w:hyperlink>
    </w:p>
    <w:p w14:paraId="3620014D" w14:textId="1F6A19DC" w:rsidR="00715FD6" w:rsidRDefault="00000000">
      <w:pPr>
        <w:pStyle w:val="TOC3"/>
        <w:rPr>
          <w:rFonts w:asciiTheme="minorHAnsi" w:eastAsiaTheme="minorEastAsia" w:hAnsiTheme="minorHAnsi" w:cstheme="minorBidi"/>
          <w:noProof/>
          <w:lang w:eastAsia="en-US"/>
        </w:rPr>
      </w:pPr>
      <w:hyperlink w:anchor="_Toc108704543" w:history="1">
        <w:r w:rsidR="00715FD6" w:rsidRPr="006701B6">
          <w:rPr>
            <w:rStyle w:val="Hyperlink"/>
            <w:noProof/>
          </w:rPr>
          <w:t>New Inventory Maint Policy Season (IMPS) Dataview</w:t>
        </w:r>
        <w:r w:rsidR="00715FD6">
          <w:rPr>
            <w:noProof/>
            <w:webHidden/>
          </w:rPr>
          <w:tab/>
        </w:r>
        <w:r w:rsidR="00715FD6">
          <w:rPr>
            <w:noProof/>
            <w:webHidden/>
          </w:rPr>
          <w:fldChar w:fldCharType="begin"/>
        </w:r>
        <w:r w:rsidR="00715FD6">
          <w:rPr>
            <w:noProof/>
            <w:webHidden/>
          </w:rPr>
          <w:instrText xml:space="preserve"> PAGEREF _Toc108704543 \h </w:instrText>
        </w:r>
        <w:r w:rsidR="00715FD6">
          <w:rPr>
            <w:noProof/>
            <w:webHidden/>
          </w:rPr>
        </w:r>
        <w:r w:rsidR="00715FD6">
          <w:rPr>
            <w:noProof/>
            <w:webHidden/>
          </w:rPr>
          <w:fldChar w:fldCharType="separate"/>
        </w:r>
        <w:r w:rsidR="00715FD6">
          <w:rPr>
            <w:noProof/>
            <w:webHidden/>
          </w:rPr>
          <w:t>5</w:t>
        </w:r>
        <w:r w:rsidR="00715FD6">
          <w:rPr>
            <w:noProof/>
            <w:webHidden/>
          </w:rPr>
          <w:fldChar w:fldCharType="end"/>
        </w:r>
      </w:hyperlink>
    </w:p>
    <w:p w14:paraId="04DEAF6F" w14:textId="4CB06A17" w:rsidR="00715FD6" w:rsidRDefault="00000000">
      <w:pPr>
        <w:pStyle w:val="TOC3"/>
        <w:rPr>
          <w:rFonts w:asciiTheme="minorHAnsi" w:eastAsiaTheme="minorEastAsia" w:hAnsiTheme="minorHAnsi" w:cstheme="minorBidi"/>
          <w:noProof/>
          <w:lang w:eastAsia="en-US"/>
        </w:rPr>
      </w:pPr>
      <w:hyperlink w:anchor="_Toc108704544" w:history="1">
        <w:r w:rsidR="00715FD6" w:rsidRPr="006701B6">
          <w:rPr>
            <w:rStyle w:val="Hyperlink"/>
            <w:noProof/>
          </w:rPr>
          <w:t>New IMPS dataview fields explained</w:t>
        </w:r>
        <w:r w:rsidR="00715FD6">
          <w:rPr>
            <w:noProof/>
            <w:webHidden/>
          </w:rPr>
          <w:tab/>
        </w:r>
        <w:r w:rsidR="00715FD6">
          <w:rPr>
            <w:noProof/>
            <w:webHidden/>
          </w:rPr>
          <w:fldChar w:fldCharType="begin"/>
        </w:r>
        <w:r w:rsidR="00715FD6">
          <w:rPr>
            <w:noProof/>
            <w:webHidden/>
          </w:rPr>
          <w:instrText xml:space="preserve"> PAGEREF _Toc108704544 \h </w:instrText>
        </w:r>
        <w:r w:rsidR="00715FD6">
          <w:rPr>
            <w:noProof/>
            <w:webHidden/>
          </w:rPr>
        </w:r>
        <w:r w:rsidR="00715FD6">
          <w:rPr>
            <w:noProof/>
            <w:webHidden/>
          </w:rPr>
          <w:fldChar w:fldCharType="separate"/>
        </w:r>
        <w:r w:rsidR="00715FD6">
          <w:rPr>
            <w:noProof/>
            <w:webHidden/>
          </w:rPr>
          <w:t>5</w:t>
        </w:r>
        <w:r w:rsidR="00715FD6">
          <w:rPr>
            <w:noProof/>
            <w:webHidden/>
          </w:rPr>
          <w:fldChar w:fldCharType="end"/>
        </w:r>
      </w:hyperlink>
    </w:p>
    <w:p w14:paraId="6DFCDB3C" w14:textId="2BB318BD" w:rsidR="00715FD6" w:rsidRDefault="00000000">
      <w:pPr>
        <w:pStyle w:val="TOC2"/>
        <w:rPr>
          <w:rFonts w:asciiTheme="minorHAnsi" w:eastAsiaTheme="minorEastAsia" w:hAnsiTheme="minorHAnsi" w:cstheme="minorBidi"/>
          <w:noProof/>
          <w:lang w:eastAsia="en-US"/>
        </w:rPr>
      </w:pPr>
      <w:hyperlink w:anchor="_Toc108704545" w:history="1">
        <w:r w:rsidR="00715FD6" w:rsidRPr="006701B6">
          <w:rPr>
            <w:rStyle w:val="Hyperlink"/>
            <w:noProof/>
          </w:rPr>
          <w:t>Seasonal Inventory Examples</w:t>
        </w:r>
        <w:r w:rsidR="00715FD6">
          <w:rPr>
            <w:noProof/>
            <w:webHidden/>
          </w:rPr>
          <w:tab/>
        </w:r>
        <w:r w:rsidR="00715FD6">
          <w:rPr>
            <w:noProof/>
            <w:webHidden/>
          </w:rPr>
          <w:fldChar w:fldCharType="begin"/>
        </w:r>
        <w:r w:rsidR="00715FD6">
          <w:rPr>
            <w:noProof/>
            <w:webHidden/>
          </w:rPr>
          <w:instrText xml:space="preserve"> PAGEREF _Toc108704545 \h </w:instrText>
        </w:r>
        <w:r w:rsidR="00715FD6">
          <w:rPr>
            <w:noProof/>
            <w:webHidden/>
          </w:rPr>
        </w:r>
        <w:r w:rsidR="00715FD6">
          <w:rPr>
            <w:noProof/>
            <w:webHidden/>
          </w:rPr>
          <w:fldChar w:fldCharType="separate"/>
        </w:r>
        <w:r w:rsidR="00715FD6">
          <w:rPr>
            <w:noProof/>
            <w:webHidden/>
          </w:rPr>
          <w:t>7</w:t>
        </w:r>
        <w:r w:rsidR="00715FD6">
          <w:rPr>
            <w:noProof/>
            <w:webHidden/>
          </w:rPr>
          <w:fldChar w:fldCharType="end"/>
        </w:r>
      </w:hyperlink>
    </w:p>
    <w:p w14:paraId="1873898E" w14:textId="452BC638" w:rsidR="00715FD6" w:rsidRDefault="00000000">
      <w:pPr>
        <w:pStyle w:val="TOC3"/>
        <w:rPr>
          <w:rFonts w:asciiTheme="minorHAnsi" w:eastAsiaTheme="minorEastAsia" w:hAnsiTheme="minorHAnsi" w:cstheme="minorBidi"/>
          <w:noProof/>
          <w:lang w:eastAsia="en-US"/>
        </w:rPr>
      </w:pPr>
      <w:hyperlink w:anchor="_Toc108704546" w:history="1">
        <w:r w:rsidR="00715FD6" w:rsidRPr="006701B6">
          <w:rPr>
            <w:rStyle w:val="Hyperlink"/>
            <w:noProof/>
          </w:rPr>
          <w:t>Not in season</w:t>
        </w:r>
        <w:r w:rsidR="00715FD6">
          <w:rPr>
            <w:noProof/>
            <w:webHidden/>
          </w:rPr>
          <w:tab/>
        </w:r>
        <w:r w:rsidR="00715FD6">
          <w:rPr>
            <w:noProof/>
            <w:webHidden/>
          </w:rPr>
          <w:fldChar w:fldCharType="begin"/>
        </w:r>
        <w:r w:rsidR="00715FD6">
          <w:rPr>
            <w:noProof/>
            <w:webHidden/>
          </w:rPr>
          <w:instrText xml:space="preserve"> PAGEREF _Toc108704546 \h </w:instrText>
        </w:r>
        <w:r w:rsidR="00715FD6">
          <w:rPr>
            <w:noProof/>
            <w:webHidden/>
          </w:rPr>
        </w:r>
        <w:r w:rsidR="00715FD6">
          <w:rPr>
            <w:noProof/>
            <w:webHidden/>
          </w:rPr>
          <w:fldChar w:fldCharType="separate"/>
        </w:r>
        <w:r w:rsidR="00715FD6">
          <w:rPr>
            <w:noProof/>
            <w:webHidden/>
          </w:rPr>
          <w:t>7</w:t>
        </w:r>
        <w:r w:rsidR="00715FD6">
          <w:rPr>
            <w:noProof/>
            <w:webHidden/>
          </w:rPr>
          <w:fldChar w:fldCharType="end"/>
        </w:r>
      </w:hyperlink>
    </w:p>
    <w:p w14:paraId="2370D0B3" w14:textId="1B8AA397" w:rsidR="00715FD6" w:rsidRDefault="00000000">
      <w:pPr>
        <w:pStyle w:val="TOC3"/>
        <w:rPr>
          <w:rFonts w:asciiTheme="minorHAnsi" w:eastAsiaTheme="minorEastAsia" w:hAnsiTheme="minorHAnsi" w:cstheme="minorBidi"/>
          <w:noProof/>
          <w:lang w:eastAsia="en-US"/>
        </w:rPr>
      </w:pPr>
      <w:hyperlink w:anchor="_Toc108704547" w:history="1">
        <w:r w:rsidR="00715FD6" w:rsidRPr="006701B6">
          <w:rPr>
            <w:rStyle w:val="Hyperlink"/>
            <w:noProof/>
          </w:rPr>
          <w:t>In season</w:t>
        </w:r>
        <w:r w:rsidR="00715FD6">
          <w:rPr>
            <w:noProof/>
            <w:webHidden/>
          </w:rPr>
          <w:tab/>
        </w:r>
        <w:r w:rsidR="00715FD6">
          <w:rPr>
            <w:noProof/>
            <w:webHidden/>
          </w:rPr>
          <w:fldChar w:fldCharType="begin"/>
        </w:r>
        <w:r w:rsidR="00715FD6">
          <w:rPr>
            <w:noProof/>
            <w:webHidden/>
          </w:rPr>
          <w:instrText xml:space="preserve"> PAGEREF _Toc108704547 \h </w:instrText>
        </w:r>
        <w:r w:rsidR="00715FD6">
          <w:rPr>
            <w:noProof/>
            <w:webHidden/>
          </w:rPr>
        </w:r>
        <w:r w:rsidR="00715FD6">
          <w:rPr>
            <w:noProof/>
            <w:webHidden/>
          </w:rPr>
          <w:fldChar w:fldCharType="separate"/>
        </w:r>
        <w:r w:rsidR="00715FD6">
          <w:rPr>
            <w:noProof/>
            <w:webHidden/>
          </w:rPr>
          <w:t>7</w:t>
        </w:r>
        <w:r w:rsidR="00715FD6">
          <w:rPr>
            <w:noProof/>
            <w:webHidden/>
          </w:rPr>
          <w:fldChar w:fldCharType="end"/>
        </w:r>
      </w:hyperlink>
    </w:p>
    <w:p w14:paraId="3A031AC6" w14:textId="02FED868" w:rsidR="00715FD6" w:rsidRDefault="00000000">
      <w:pPr>
        <w:pStyle w:val="TOC2"/>
        <w:rPr>
          <w:rFonts w:asciiTheme="minorHAnsi" w:eastAsiaTheme="minorEastAsia" w:hAnsiTheme="minorHAnsi" w:cstheme="minorBidi"/>
          <w:noProof/>
          <w:lang w:eastAsia="en-US"/>
        </w:rPr>
      </w:pPr>
      <w:hyperlink w:anchor="_Toc108704548" w:history="1">
        <w:r w:rsidR="00715FD6" w:rsidRPr="006701B6">
          <w:rPr>
            <w:rStyle w:val="Hyperlink"/>
            <w:noProof/>
          </w:rPr>
          <w:t>Appendix: Change Notes</w:t>
        </w:r>
        <w:r w:rsidR="00715FD6">
          <w:rPr>
            <w:noProof/>
            <w:webHidden/>
          </w:rPr>
          <w:tab/>
        </w:r>
        <w:r w:rsidR="00715FD6">
          <w:rPr>
            <w:noProof/>
            <w:webHidden/>
          </w:rPr>
          <w:fldChar w:fldCharType="begin"/>
        </w:r>
        <w:r w:rsidR="00715FD6">
          <w:rPr>
            <w:noProof/>
            <w:webHidden/>
          </w:rPr>
          <w:instrText xml:space="preserve"> PAGEREF _Toc108704548 \h </w:instrText>
        </w:r>
        <w:r w:rsidR="00715FD6">
          <w:rPr>
            <w:noProof/>
            <w:webHidden/>
          </w:rPr>
        </w:r>
        <w:r w:rsidR="00715FD6">
          <w:rPr>
            <w:noProof/>
            <w:webHidden/>
          </w:rPr>
          <w:fldChar w:fldCharType="separate"/>
        </w:r>
        <w:r w:rsidR="00715FD6">
          <w:rPr>
            <w:noProof/>
            <w:webHidden/>
          </w:rPr>
          <w:t>8</w:t>
        </w:r>
        <w:r w:rsidR="00715FD6">
          <w:rPr>
            <w:noProof/>
            <w:webHidden/>
          </w:rPr>
          <w:fldChar w:fldCharType="end"/>
        </w:r>
      </w:hyperlink>
    </w:p>
    <w:p w14:paraId="4EE16EFF" w14:textId="2426FD2A" w:rsidR="00B24B70" w:rsidRDefault="00B24B70" w:rsidP="00B24B70">
      <w:r>
        <w:fldChar w:fldCharType="end"/>
      </w:r>
    </w:p>
    <w:p w14:paraId="46AB6906" w14:textId="02E84FEF" w:rsidR="00F13641" w:rsidRDefault="00F13641" w:rsidP="00B24B70"/>
    <w:p w14:paraId="254F3847" w14:textId="77777777" w:rsidR="00F13641" w:rsidRDefault="00F13641" w:rsidP="00B24B70"/>
    <w:p w14:paraId="51FF3BBD" w14:textId="77777777" w:rsidR="00F13641" w:rsidRDefault="00F13641">
      <w:pPr>
        <w:spacing w:after="160" w:line="259" w:lineRule="auto"/>
        <w:rPr>
          <w:rFonts w:ascii="Calibri" w:eastAsia="Times New Roman" w:hAnsi="Calibri" w:cs="Times New Roman"/>
          <w:bCs/>
          <w:color w:val="0F243E"/>
          <w:sz w:val="36"/>
        </w:rPr>
      </w:pPr>
      <w:r>
        <w:br w:type="page"/>
      </w:r>
    </w:p>
    <w:p w14:paraId="0AE304DA" w14:textId="52B7031C" w:rsidR="00F44A66" w:rsidRDefault="005F5A66" w:rsidP="00F13641">
      <w:pPr>
        <w:pStyle w:val="Heading3"/>
      </w:pPr>
      <w:bookmarkStart w:id="0" w:name="_Toc108704541"/>
      <w:r>
        <w:lastRenderedPageBreak/>
        <w:t>Background</w:t>
      </w:r>
      <w:bookmarkEnd w:id="0"/>
    </w:p>
    <w:p w14:paraId="6901C125" w14:textId="77777777" w:rsidR="00F13641" w:rsidRDefault="005F5A66" w:rsidP="00062472">
      <w:pPr>
        <w:rPr>
          <w:lang w:eastAsia="zh-CN"/>
        </w:rPr>
      </w:pPr>
      <w:r>
        <w:rPr>
          <w:lang w:eastAsia="zh-CN"/>
        </w:rPr>
        <w:t xml:space="preserve">By their nature, clonal crop sites typically distribute cuttings when fulfilling germplasm requests. </w:t>
      </w:r>
      <w:r w:rsidR="00E92347">
        <w:rPr>
          <w:lang w:eastAsia="zh-CN"/>
        </w:rPr>
        <w:t xml:space="preserve">In most cases, cuttings can only be distributed within specific time frames, depending on the taxa, the growing conditions, and whether the cuttings are dormant or softwood. </w:t>
      </w:r>
    </w:p>
    <w:p w14:paraId="17C735D0" w14:textId="5C32CA06" w:rsidR="00062472" w:rsidRDefault="00E92347" w:rsidP="00062472">
      <w:pPr>
        <w:rPr>
          <w:lang w:eastAsia="zh-CN"/>
        </w:rPr>
      </w:pPr>
      <w:r>
        <w:rPr>
          <w:lang w:eastAsia="zh-CN"/>
        </w:rPr>
        <w:t>GRIN-Global was enhanced to include a</w:t>
      </w:r>
      <w:r w:rsidR="00062472">
        <w:rPr>
          <w:lang w:eastAsia="zh-CN"/>
        </w:rPr>
        <w:t xml:space="preserve"> new procedure to enable the “seasonal availability” of germplasm for specific inventory.  Seed germplasm would be unaffected by this code</w:t>
      </w:r>
      <w:r w:rsidR="00F13641">
        <w:rPr>
          <w:lang w:eastAsia="zh-CN"/>
        </w:rPr>
        <w:t xml:space="preserve"> change</w:t>
      </w:r>
      <w:r w:rsidR="00062472">
        <w:rPr>
          <w:lang w:eastAsia="zh-CN"/>
        </w:rPr>
        <w:t>.</w:t>
      </w:r>
    </w:p>
    <w:p w14:paraId="5EF51875" w14:textId="65A907DF" w:rsidR="00E92347" w:rsidRDefault="00062472" w:rsidP="005F5A66">
      <w:pPr>
        <w:rPr>
          <w:lang w:eastAsia="zh-CN"/>
        </w:rPr>
      </w:pPr>
      <w:r>
        <w:rPr>
          <w:lang w:eastAsia="zh-CN"/>
        </w:rPr>
        <w:t>Previously, i</w:t>
      </w:r>
      <w:r w:rsidR="005F5A66">
        <w:rPr>
          <w:lang w:eastAsia="zh-CN"/>
        </w:rPr>
        <w:t xml:space="preserve">n the GRIN-Global environment, </w:t>
      </w:r>
      <w:r w:rsidR="00C44B12">
        <w:rPr>
          <w:lang w:eastAsia="zh-CN"/>
        </w:rPr>
        <w:t xml:space="preserve">inventory records had seasonal start and end date fields, but </w:t>
      </w:r>
      <w:r w:rsidR="005F5A66">
        <w:rPr>
          <w:lang w:eastAsia="zh-CN"/>
        </w:rPr>
        <w:t>no logic exist</w:t>
      </w:r>
      <w:r>
        <w:rPr>
          <w:lang w:eastAsia="zh-CN"/>
        </w:rPr>
        <w:t>ed</w:t>
      </w:r>
      <w:r w:rsidR="005F5A66">
        <w:rPr>
          <w:lang w:eastAsia="zh-CN"/>
        </w:rPr>
        <w:t xml:space="preserve"> to </w:t>
      </w:r>
      <w:r w:rsidR="00C44B12">
        <w:rPr>
          <w:lang w:eastAsia="zh-CN"/>
        </w:rPr>
        <w:t xml:space="preserve">work with those dates. </w:t>
      </w:r>
      <w:r w:rsidR="006E47E4">
        <w:rPr>
          <w:lang w:eastAsia="zh-CN"/>
        </w:rPr>
        <w:t xml:space="preserve">Data in these fields in </w:t>
      </w:r>
      <w:r w:rsidR="00F16C98">
        <w:rPr>
          <w:lang w:eastAsia="zh-CN"/>
        </w:rPr>
        <w:t xml:space="preserve">any </w:t>
      </w:r>
      <w:r w:rsidR="00E92347">
        <w:rPr>
          <w:lang w:eastAsia="zh-CN"/>
        </w:rPr>
        <w:t xml:space="preserve">inventory records </w:t>
      </w:r>
      <w:r w:rsidR="00F16C98">
        <w:rPr>
          <w:lang w:eastAsia="zh-CN"/>
        </w:rPr>
        <w:t>served as a note and had no impact with the distribution requests or the GG Public Website.</w:t>
      </w:r>
    </w:p>
    <w:p w14:paraId="0522A87B" w14:textId="157599B4" w:rsidR="00F16C98" w:rsidRDefault="00466311" w:rsidP="00687FD4">
      <w:r>
        <w:rPr>
          <w:lang w:eastAsia="zh-CN"/>
        </w:rPr>
        <w:t>N</w:t>
      </w:r>
      <w:r w:rsidR="005F5A66">
        <w:rPr>
          <w:lang w:eastAsia="zh-CN"/>
        </w:rPr>
        <w:t xml:space="preserve">ew </w:t>
      </w:r>
      <w:r>
        <w:rPr>
          <w:lang w:eastAsia="zh-CN"/>
        </w:rPr>
        <w:t xml:space="preserve">programming logic </w:t>
      </w:r>
      <w:r w:rsidR="00804233">
        <w:rPr>
          <w:lang w:eastAsia="zh-CN"/>
        </w:rPr>
        <w:t>and a table</w:t>
      </w:r>
      <w:r w:rsidR="005F5A66">
        <w:rPr>
          <w:lang w:eastAsia="zh-CN"/>
        </w:rPr>
        <w:t xml:space="preserve"> w</w:t>
      </w:r>
      <w:r>
        <w:rPr>
          <w:lang w:eastAsia="zh-CN"/>
        </w:rPr>
        <w:t>ere</w:t>
      </w:r>
      <w:r w:rsidR="005F5A66">
        <w:rPr>
          <w:lang w:eastAsia="zh-CN"/>
        </w:rPr>
        <w:t xml:space="preserve"> developed to implement a process so that each inventory record </w:t>
      </w:r>
      <w:r w:rsidR="00687FD4">
        <w:rPr>
          <w:lang w:eastAsia="zh-CN"/>
        </w:rPr>
        <w:t xml:space="preserve">could </w:t>
      </w:r>
      <w:r w:rsidR="005F5A66">
        <w:rPr>
          <w:lang w:eastAsia="zh-CN"/>
        </w:rPr>
        <w:t xml:space="preserve">have its own availability date range. </w:t>
      </w:r>
      <w:r w:rsidR="005F5A66" w:rsidRPr="005F5A66">
        <w:t xml:space="preserve">For example, cuttings may be distributed only </w:t>
      </w:r>
      <w:r w:rsidR="00F16C98">
        <w:t>two</w:t>
      </w:r>
      <w:r w:rsidR="005F5A66" w:rsidRPr="005F5A66">
        <w:t xml:space="preserve"> months a year, but leaf tissue</w:t>
      </w:r>
      <w:r w:rsidR="006E47E4">
        <w:t xml:space="preserve"> for the same accession</w:t>
      </w:r>
      <w:r w:rsidR="005F5A66" w:rsidRPr="005F5A66">
        <w:t xml:space="preserve"> can be delivered over a different time range. </w:t>
      </w:r>
    </w:p>
    <w:p w14:paraId="5EB40D79" w14:textId="63B323EF" w:rsidR="00466311" w:rsidRDefault="00804233" w:rsidP="00687FD4">
      <w:r>
        <w:t>Also, a new dataview was developed: “</w:t>
      </w:r>
      <w:r w:rsidRPr="00804233">
        <w:rPr>
          <w:b/>
          <w:bCs/>
        </w:rPr>
        <w:t xml:space="preserve">Get </w:t>
      </w:r>
      <w:r w:rsidR="00DA5FC9">
        <w:rPr>
          <w:b/>
          <w:bCs/>
        </w:rPr>
        <w:t>I</w:t>
      </w:r>
      <w:r w:rsidRPr="00804233">
        <w:rPr>
          <w:b/>
          <w:bCs/>
          <w:lang w:eastAsia="zh-CN"/>
        </w:rPr>
        <w:t>nventory</w:t>
      </w:r>
      <w:r w:rsidRPr="00804233">
        <w:rPr>
          <w:b/>
          <w:bCs/>
        </w:rPr>
        <w:t xml:space="preserve"> </w:t>
      </w:r>
      <w:proofErr w:type="spellStart"/>
      <w:r w:rsidRPr="00804233">
        <w:rPr>
          <w:b/>
          <w:bCs/>
        </w:rPr>
        <w:t>Maint</w:t>
      </w:r>
      <w:proofErr w:type="spellEnd"/>
      <w:r w:rsidRPr="00804233">
        <w:rPr>
          <w:b/>
          <w:bCs/>
        </w:rPr>
        <w:t xml:space="preserve"> Policy Season</w:t>
      </w:r>
      <w:r>
        <w:t>.”</w:t>
      </w:r>
      <w:r w:rsidR="00F16C98">
        <w:t xml:space="preserve">  </w:t>
      </w:r>
      <w:r>
        <w:t xml:space="preserve">Using the new table (in the </w:t>
      </w:r>
      <w:r w:rsidRPr="007C0D9D">
        <w:t xml:space="preserve">Curator Tool </w:t>
      </w:r>
      <w:r w:rsidR="00466311">
        <w:t xml:space="preserve">via </w:t>
      </w:r>
      <w:r w:rsidR="00F16C98">
        <w:t xml:space="preserve">the </w:t>
      </w:r>
      <w:r w:rsidR="00466311">
        <w:t xml:space="preserve">new </w:t>
      </w:r>
      <w:r>
        <w:t xml:space="preserve">dataview), it is </w:t>
      </w:r>
      <w:r w:rsidR="006E47E4">
        <w:t xml:space="preserve">now </w:t>
      </w:r>
      <w:r>
        <w:t xml:space="preserve">possible to indicate </w:t>
      </w:r>
      <w:r w:rsidR="000653D8">
        <w:t xml:space="preserve">the </w:t>
      </w:r>
      <w:r>
        <w:t xml:space="preserve">starting and end dates for any inventory form. </w:t>
      </w:r>
    </w:p>
    <w:tbl>
      <w:tblPr>
        <w:tblW w:w="9648" w:type="dxa"/>
        <w:shd w:val="clear" w:color="000000" w:fill="FFFFFF"/>
        <w:tblLayout w:type="fixed"/>
        <w:tblLook w:val="04A0" w:firstRow="1" w:lastRow="0" w:firstColumn="1" w:lastColumn="0" w:noHBand="0" w:noVBand="1"/>
      </w:tblPr>
      <w:tblGrid>
        <w:gridCol w:w="810"/>
        <w:gridCol w:w="8838"/>
      </w:tblGrid>
      <w:tr w:rsidR="000D2679" w:rsidRPr="00597272" w14:paraId="4B5AB9FD" w14:textId="77777777" w:rsidTr="00A1731F">
        <w:tc>
          <w:tcPr>
            <w:tcW w:w="810" w:type="dxa"/>
            <w:shd w:val="clear" w:color="000000" w:fill="FFFFFF"/>
          </w:tcPr>
          <w:p w14:paraId="16737150" w14:textId="77777777" w:rsidR="000D2679" w:rsidRPr="00494E5F" w:rsidRDefault="000D2679" w:rsidP="00A1731F">
            <w:pPr>
              <w:spacing w:after="240"/>
              <w:rPr>
                <w:noProof/>
              </w:rPr>
            </w:pPr>
            <w:r>
              <w:rPr>
                <w:noProof/>
                <w:sz w:val="20"/>
                <w:szCs w:val="20"/>
              </w:rPr>
              <w:drawing>
                <wp:inline distT="0" distB="0" distL="0" distR="0" wp14:anchorId="729DFCA5" wp14:editId="31F228B3">
                  <wp:extent cx="407662" cy="483861"/>
                  <wp:effectExtent l="0" t="0" r="0" b="0"/>
                  <wp:docPr id="3" name="Picture 3"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5CED8A9" w14:textId="625E01C6" w:rsidR="000D2679" w:rsidRPr="009E61E8" w:rsidRDefault="000D2679" w:rsidP="00A1731F">
            <w:pPr>
              <w:spacing w:after="0"/>
            </w:pPr>
            <w:r>
              <w:t xml:space="preserve">Note that you can have only </w:t>
            </w:r>
            <w:r w:rsidRPr="000D2679">
              <w:t>one seasonal policy</w:t>
            </w:r>
            <w:r w:rsidRPr="00E92347">
              <w:rPr>
                <w:i/>
                <w:iCs/>
              </w:rPr>
              <w:t xml:space="preserve"> per form</w:t>
            </w:r>
            <w:r>
              <w:rPr>
                <w:i/>
                <w:iCs/>
              </w:rPr>
              <w:t>.</w:t>
            </w:r>
            <w:r>
              <w:t xml:space="preserve"> </w:t>
            </w:r>
          </w:p>
        </w:tc>
      </w:tr>
    </w:tbl>
    <w:p w14:paraId="416AEE8F" w14:textId="2DA334C2" w:rsidR="00F16C98" w:rsidRDefault="006E47E4" w:rsidP="00687FD4">
      <w:r>
        <w:t xml:space="preserve">As previously, </w:t>
      </w:r>
      <w:r w:rsidR="00F16C98">
        <w:t xml:space="preserve">general </w:t>
      </w:r>
      <w:r w:rsidR="005F5A66" w:rsidRPr="005F5A66">
        <w:t xml:space="preserve">availability is on/off, depending on two flag </w:t>
      </w:r>
      <w:proofErr w:type="gramStart"/>
      <w:r w:rsidR="005F5A66" w:rsidRPr="005F5A66">
        <w:t xml:space="preserve">fields </w:t>
      </w:r>
      <w:r w:rsidR="000653D8">
        <w:t xml:space="preserve"> </w:t>
      </w:r>
      <w:r w:rsidR="000653D8" w:rsidRPr="005F5A66">
        <w:t>–</w:t>
      </w:r>
      <w:proofErr w:type="gramEnd"/>
      <w:r w:rsidR="000653D8">
        <w:t xml:space="preserve"> </w:t>
      </w:r>
      <w:r w:rsidR="000653D8" w:rsidRPr="000653D8">
        <w:rPr>
          <w:b/>
          <w:bCs/>
        </w:rPr>
        <w:t>Is Available?</w:t>
      </w:r>
      <w:r w:rsidR="000653D8">
        <w:t xml:space="preserve"> and </w:t>
      </w:r>
      <w:r w:rsidR="000653D8" w:rsidRPr="000653D8">
        <w:rPr>
          <w:b/>
          <w:bCs/>
        </w:rPr>
        <w:t>Is Auto Deducted?</w:t>
      </w:r>
      <w:r w:rsidR="000653D8">
        <w:t xml:space="preserve"> </w:t>
      </w:r>
      <w:r w:rsidR="005F5A66" w:rsidRPr="005F5A66">
        <w:t>– both must be Y and then the</w:t>
      </w:r>
      <w:r w:rsidR="00687FD4">
        <w:t xml:space="preserve"> germplasm</w:t>
      </w:r>
      <w:r w:rsidR="005F5A66" w:rsidRPr="005F5A66">
        <w:t xml:space="preserve"> form </w:t>
      </w:r>
      <w:r w:rsidR="00687FD4">
        <w:t xml:space="preserve">is </w:t>
      </w:r>
      <w:r w:rsidR="000653D8">
        <w:t xml:space="preserve">typically </w:t>
      </w:r>
      <w:r w:rsidR="00687FD4">
        <w:t>listed as “Available.”</w:t>
      </w:r>
      <w:r w:rsidR="005F5A66" w:rsidRPr="005F5A66">
        <w:t xml:space="preserve">   </w:t>
      </w:r>
      <w:r w:rsidR="00E92347">
        <w:t xml:space="preserve">Prior to implementing this new seasonal enhancement, </w:t>
      </w:r>
      <w:r w:rsidR="00687FD4">
        <w:rPr>
          <w:lang w:eastAsia="zh-CN"/>
        </w:rPr>
        <w:t>t</w:t>
      </w:r>
      <w:r w:rsidR="00687FD4" w:rsidRPr="005F5A66">
        <w:t xml:space="preserve">he curator </w:t>
      </w:r>
      <w:r w:rsidR="00E92347">
        <w:t xml:space="preserve">would be required to </w:t>
      </w:r>
      <w:r w:rsidR="00687FD4" w:rsidRPr="005F5A66">
        <w:t xml:space="preserve">manually edit </w:t>
      </w:r>
      <w:r w:rsidR="00687FD4">
        <w:t xml:space="preserve">the respective inventory </w:t>
      </w:r>
      <w:r w:rsidR="00687FD4" w:rsidRPr="005F5A66">
        <w:t xml:space="preserve">records </w:t>
      </w:r>
      <w:r w:rsidR="00687FD4">
        <w:t xml:space="preserve">and </w:t>
      </w:r>
      <w:r w:rsidR="00687FD4" w:rsidRPr="005F5A66">
        <w:t>switch the</w:t>
      </w:r>
      <w:r w:rsidR="00E92347">
        <w:t>ir</w:t>
      </w:r>
      <w:r w:rsidR="00687FD4" w:rsidRPr="005F5A66">
        <w:t xml:space="preserve"> flags to make the accessions available</w:t>
      </w:r>
      <w:r w:rsidR="000653D8">
        <w:t xml:space="preserve"> or conversely, “Not Available.”</w:t>
      </w:r>
      <w:r w:rsidR="00687FD4">
        <w:t xml:space="preserve"> </w:t>
      </w:r>
      <w:r w:rsidR="00F16C98">
        <w:t xml:space="preserve">With the new seasonal availability feature, the two </w:t>
      </w:r>
      <w:r w:rsidR="000653D8">
        <w:t xml:space="preserve">original </w:t>
      </w:r>
      <w:r w:rsidR="00F16C98">
        <w:t>flag fields must</w:t>
      </w:r>
      <w:r w:rsidR="003C2283">
        <w:t xml:space="preserve"> still</w:t>
      </w:r>
      <w:r w:rsidR="00F16C98">
        <w:t xml:space="preserve"> be set to “Y,” but now the PW also evaluates the form and </w:t>
      </w:r>
      <w:r w:rsidR="003C2283">
        <w:t>then evaluates the start</w:t>
      </w:r>
      <w:r w:rsidR="000653D8">
        <w:t>ing</w:t>
      </w:r>
      <w:r w:rsidR="003C2283">
        <w:t xml:space="preserve"> and end</w:t>
      </w:r>
      <w:r w:rsidR="000653D8">
        <w:t>ing</w:t>
      </w:r>
      <w:r w:rsidR="003C2283">
        <w:t xml:space="preserve"> dates </w:t>
      </w:r>
      <w:r w:rsidR="000653D8">
        <w:t xml:space="preserve">when that inventory </w:t>
      </w:r>
      <w:r w:rsidR="00F16C98">
        <w:t xml:space="preserve">has a corresponding </w:t>
      </w:r>
      <w:r w:rsidR="00DA5FC9">
        <w:rPr>
          <w:b/>
          <w:bCs/>
        </w:rPr>
        <w:t>I</w:t>
      </w:r>
      <w:r w:rsidR="00DA5FC9" w:rsidRPr="00804233">
        <w:rPr>
          <w:b/>
          <w:bCs/>
          <w:lang w:eastAsia="zh-CN"/>
        </w:rPr>
        <w:t>nventory</w:t>
      </w:r>
      <w:r w:rsidR="00DA5FC9" w:rsidRPr="00804233">
        <w:rPr>
          <w:b/>
          <w:bCs/>
        </w:rPr>
        <w:t xml:space="preserve"> </w:t>
      </w:r>
      <w:proofErr w:type="spellStart"/>
      <w:r w:rsidR="00DA5FC9" w:rsidRPr="00804233">
        <w:rPr>
          <w:b/>
          <w:bCs/>
        </w:rPr>
        <w:t>Maint</w:t>
      </w:r>
      <w:proofErr w:type="spellEnd"/>
      <w:r w:rsidR="00DA5FC9" w:rsidRPr="00804233">
        <w:rPr>
          <w:b/>
          <w:bCs/>
        </w:rPr>
        <w:t xml:space="preserve"> Policy Season</w:t>
      </w:r>
      <w:r w:rsidR="00DA5FC9" w:rsidRPr="00DA5FC9">
        <w:t xml:space="preserve"> record</w:t>
      </w:r>
      <w:r w:rsidR="000653D8" w:rsidRPr="00DA5FC9">
        <w:t>.</w:t>
      </w:r>
      <w:r w:rsidR="00F16C98">
        <w:t xml:space="preserve"> </w:t>
      </w:r>
      <w:r w:rsidR="00687FD4">
        <w:t xml:space="preserve"> </w:t>
      </w:r>
    </w:p>
    <w:p w14:paraId="448DC26B" w14:textId="6E69B812" w:rsidR="00687FD4" w:rsidRDefault="00687FD4" w:rsidP="00687FD4">
      <w:pPr>
        <w:rPr>
          <w:lang w:eastAsia="zh-CN"/>
        </w:rPr>
      </w:pPr>
      <w:r>
        <w:rPr>
          <w:lang w:eastAsia="zh-CN"/>
        </w:rPr>
        <w:t xml:space="preserve">Another </w:t>
      </w:r>
      <w:r w:rsidR="0081118B">
        <w:rPr>
          <w:lang w:eastAsia="zh-CN"/>
        </w:rPr>
        <w:t>drawback with th</w:t>
      </w:r>
      <w:r w:rsidR="000653D8">
        <w:rPr>
          <w:lang w:eastAsia="zh-CN"/>
        </w:rPr>
        <w:t xml:space="preserve">e original </w:t>
      </w:r>
      <w:r w:rsidR="0081118B">
        <w:rPr>
          <w:lang w:eastAsia="zh-CN"/>
        </w:rPr>
        <w:t xml:space="preserve">scenario </w:t>
      </w:r>
      <w:r w:rsidR="006E47E4">
        <w:rPr>
          <w:lang w:eastAsia="zh-CN"/>
        </w:rPr>
        <w:t>was</w:t>
      </w:r>
      <w:r w:rsidR="0081118B">
        <w:rPr>
          <w:lang w:eastAsia="zh-CN"/>
        </w:rPr>
        <w:t xml:space="preserve"> that GG public website viewers and requestors might conclude that </w:t>
      </w:r>
      <w:r w:rsidR="006E47E4">
        <w:rPr>
          <w:lang w:eastAsia="zh-CN"/>
        </w:rPr>
        <w:t xml:space="preserve">an active </w:t>
      </w:r>
      <w:r w:rsidR="0081118B">
        <w:rPr>
          <w:lang w:eastAsia="zh-CN"/>
        </w:rPr>
        <w:t xml:space="preserve">accession is no longer managed in the system because for a </w:t>
      </w:r>
      <w:r w:rsidR="000653D8">
        <w:rPr>
          <w:lang w:eastAsia="zh-CN"/>
        </w:rPr>
        <w:t xml:space="preserve">substantial </w:t>
      </w:r>
      <w:r w:rsidR="0081118B">
        <w:rPr>
          <w:lang w:eastAsia="zh-CN"/>
        </w:rPr>
        <w:t xml:space="preserve">part of the year the accession would be listed as unavailable </w:t>
      </w:r>
      <w:r>
        <w:rPr>
          <w:lang w:eastAsia="zh-CN"/>
        </w:rPr>
        <w:t xml:space="preserve">when </w:t>
      </w:r>
      <w:proofErr w:type="gramStart"/>
      <w:r w:rsidR="006E47E4">
        <w:rPr>
          <w:lang w:eastAsia="zh-CN"/>
        </w:rPr>
        <w:t xml:space="preserve">actually </w:t>
      </w:r>
      <w:r>
        <w:rPr>
          <w:lang w:eastAsia="zh-CN"/>
        </w:rPr>
        <w:t>the</w:t>
      </w:r>
      <w:proofErr w:type="gramEnd"/>
      <w:r>
        <w:rPr>
          <w:lang w:eastAsia="zh-CN"/>
        </w:rPr>
        <w:t xml:space="preserve"> accession </w:t>
      </w:r>
      <w:r w:rsidR="006E47E4">
        <w:rPr>
          <w:lang w:eastAsia="zh-CN"/>
        </w:rPr>
        <w:t xml:space="preserve">was </w:t>
      </w:r>
      <w:proofErr w:type="spellStart"/>
      <w:r>
        <w:rPr>
          <w:lang w:eastAsia="zh-CN"/>
        </w:rPr>
        <w:t>live</w:t>
      </w:r>
      <w:proofErr w:type="spellEnd"/>
      <w:r>
        <w:rPr>
          <w:lang w:eastAsia="zh-CN"/>
        </w:rPr>
        <w:t xml:space="preserve"> and well</w:t>
      </w:r>
      <w:r w:rsidR="0081118B">
        <w:rPr>
          <w:lang w:eastAsia="zh-CN"/>
        </w:rPr>
        <w:t>; it simply c</w:t>
      </w:r>
      <w:r w:rsidR="006E47E4">
        <w:rPr>
          <w:lang w:eastAsia="zh-CN"/>
        </w:rPr>
        <w:t xml:space="preserve">ould not </w:t>
      </w:r>
      <w:r w:rsidR="0081118B">
        <w:rPr>
          <w:lang w:eastAsia="zh-CN"/>
        </w:rPr>
        <w:t>be distributed</w:t>
      </w:r>
      <w:r w:rsidR="00DA5FC9">
        <w:rPr>
          <w:lang w:eastAsia="zh-CN"/>
        </w:rPr>
        <w:t xml:space="preserve"> at certain times</w:t>
      </w:r>
      <w:r>
        <w:rPr>
          <w:lang w:eastAsia="zh-CN"/>
        </w:rPr>
        <w:t xml:space="preserve">.   Although </w:t>
      </w:r>
      <w:r w:rsidRPr="005F5A66">
        <w:t>sites</w:t>
      </w:r>
      <w:r>
        <w:rPr>
          <w:lang w:eastAsia="zh-CN"/>
        </w:rPr>
        <w:t xml:space="preserve"> typically use note fields to indicate when cuttings are available, that note is text, does not control the flags</w:t>
      </w:r>
      <w:r w:rsidR="00DA5FC9">
        <w:rPr>
          <w:lang w:eastAsia="zh-CN"/>
        </w:rPr>
        <w:t xml:space="preserve"> or the public website</w:t>
      </w:r>
      <w:r>
        <w:rPr>
          <w:lang w:eastAsia="zh-CN"/>
        </w:rPr>
        <w:t>, and may not even be noticed by the requestor.</w:t>
      </w:r>
    </w:p>
    <w:p w14:paraId="49B19AB9" w14:textId="77777777" w:rsidR="009F47B0" w:rsidRDefault="009F47B0">
      <w:pPr>
        <w:spacing w:after="160" w:line="259" w:lineRule="auto"/>
        <w:rPr>
          <w:rFonts w:ascii="Calibri" w:eastAsia="Times New Roman" w:hAnsi="Calibri" w:cs="Times New Roman"/>
          <w:b/>
          <w:color w:val="006633"/>
          <w:sz w:val="24"/>
          <w:szCs w:val="24"/>
          <w:lang w:eastAsia="zh-CN"/>
        </w:rPr>
      </w:pPr>
      <w:r>
        <w:br w:type="page"/>
      </w:r>
    </w:p>
    <w:p w14:paraId="1924636F" w14:textId="77777777" w:rsidR="00FF0993" w:rsidRDefault="00676B7E" w:rsidP="00676B7E">
      <w:pPr>
        <w:pStyle w:val="Heading5"/>
      </w:pPr>
      <w:bookmarkStart w:id="1" w:name="_Toc108704542"/>
      <w:r>
        <w:lastRenderedPageBreak/>
        <w:t>The Basics</w:t>
      </w:r>
      <w:bookmarkEnd w:id="1"/>
    </w:p>
    <w:p w14:paraId="68C76FB1" w14:textId="10833C5E" w:rsidR="00676B7E" w:rsidRDefault="00FF0993" w:rsidP="00FF0993">
      <w:pPr>
        <w:pStyle w:val="Heading6"/>
      </w:pPr>
      <w:r>
        <w:t xml:space="preserve">Create an imps </w:t>
      </w:r>
      <w:r w:rsidR="00676B7E">
        <w:t>Seasonal Dates</w:t>
      </w:r>
    </w:p>
    <w:p w14:paraId="7FB605EF" w14:textId="050EA195" w:rsidR="00FF0993" w:rsidRDefault="00676B7E" w:rsidP="00676B7E">
      <w:r>
        <w:t xml:space="preserve">To establish seasonal dates, a </w:t>
      </w:r>
      <w:r w:rsidR="009F47B0">
        <w:t xml:space="preserve">“season” </w:t>
      </w:r>
      <w:r>
        <w:t xml:space="preserve">record must be created using the </w:t>
      </w:r>
      <w:r w:rsidRPr="00676B7E">
        <w:rPr>
          <w:b/>
          <w:bCs/>
        </w:rPr>
        <w:t xml:space="preserve">Inventory </w:t>
      </w:r>
      <w:proofErr w:type="spellStart"/>
      <w:r w:rsidRPr="00676B7E">
        <w:rPr>
          <w:b/>
          <w:bCs/>
        </w:rPr>
        <w:t>Maint</w:t>
      </w:r>
      <w:proofErr w:type="spellEnd"/>
      <w:r w:rsidRPr="00676B7E">
        <w:rPr>
          <w:b/>
          <w:bCs/>
        </w:rPr>
        <w:t xml:space="preserve"> Policy Season</w:t>
      </w:r>
      <w:r>
        <w:t xml:space="preserve"> </w:t>
      </w:r>
      <w:r w:rsidR="006F55D4" w:rsidRPr="006F55D4">
        <w:rPr>
          <w:b/>
          <w:bCs/>
        </w:rPr>
        <w:t>(IMPS)</w:t>
      </w:r>
      <w:r w:rsidR="006F55D4">
        <w:t xml:space="preserve"> </w:t>
      </w:r>
      <w:r>
        <w:t>dataview</w:t>
      </w:r>
      <w:r w:rsidR="00201C52">
        <w:t xml:space="preserve">.  </w:t>
      </w:r>
      <w:r w:rsidR="00FF0993">
        <w:t xml:space="preserve">In turn, </w:t>
      </w:r>
      <w:r w:rsidR="009F47B0">
        <w:t>t</w:t>
      </w:r>
      <w:r w:rsidR="00201C52">
        <w:t xml:space="preserve">his season record requires an existing </w:t>
      </w:r>
      <w:r w:rsidR="00201C52" w:rsidRPr="009F47B0">
        <w:rPr>
          <w:b/>
          <w:bCs/>
        </w:rPr>
        <w:t>Inventory Maintenance Policy (IMP)</w:t>
      </w:r>
      <w:r w:rsidR="00201C52">
        <w:t xml:space="preserve"> record.  </w:t>
      </w:r>
      <w:r w:rsidR="00FF0993">
        <w:t>To work properly, three records must be related:</w:t>
      </w:r>
    </w:p>
    <w:p w14:paraId="1D597911" w14:textId="20239640" w:rsidR="00FF0993" w:rsidRPr="000B6485" w:rsidRDefault="00FF0993" w:rsidP="00FF0993">
      <w:pPr>
        <w:pStyle w:val="ListParagraph"/>
        <w:numPr>
          <w:ilvl w:val="0"/>
          <w:numId w:val="3"/>
        </w:numPr>
        <w:rPr>
          <w:b/>
          <w:bCs/>
        </w:rPr>
      </w:pPr>
      <w:r w:rsidRPr="000B6485">
        <w:rPr>
          <w:b/>
          <w:bCs/>
        </w:rPr>
        <w:t>Inventory</w:t>
      </w:r>
    </w:p>
    <w:p w14:paraId="1047C80E" w14:textId="42D40118" w:rsidR="00FF0993" w:rsidRPr="000B6485" w:rsidRDefault="00FF0993" w:rsidP="00FF0993">
      <w:pPr>
        <w:pStyle w:val="ListParagraph"/>
        <w:numPr>
          <w:ilvl w:val="0"/>
          <w:numId w:val="3"/>
        </w:numPr>
        <w:rPr>
          <w:b/>
          <w:bCs/>
        </w:rPr>
      </w:pPr>
      <w:r w:rsidRPr="000B6485">
        <w:rPr>
          <w:rFonts w:ascii="Calibri" w:eastAsia="Calibri" w:hAnsi="Calibri" w:cs="Times New Roman"/>
          <w:b/>
          <w:bCs/>
        </w:rPr>
        <w:t>Inventory Maintenance Policy</w:t>
      </w:r>
    </w:p>
    <w:p w14:paraId="5A3AD63A" w14:textId="57B74AF5" w:rsidR="00FF0993" w:rsidRDefault="00FF0993" w:rsidP="00FF0993">
      <w:pPr>
        <w:pStyle w:val="ListParagraph"/>
        <w:numPr>
          <w:ilvl w:val="0"/>
          <w:numId w:val="3"/>
        </w:numPr>
      </w:pPr>
      <w:r w:rsidRPr="00676B7E">
        <w:rPr>
          <w:b/>
          <w:bCs/>
        </w:rPr>
        <w:t xml:space="preserve">Inventory </w:t>
      </w:r>
      <w:proofErr w:type="spellStart"/>
      <w:r w:rsidRPr="00676B7E">
        <w:rPr>
          <w:b/>
          <w:bCs/>
        </w:rPr>
        <w:t>Maint</w:t>
      </w:r>
      <w:proofErr w:type="spellEnd"/>
      <w:r w:rsidRPr="00676B7E">
        <w:rPr>
          <w:b/>
          <w:bCs/>
        </w:rPr>
        <w:t xml:space="preserve"> Policy Season</w:t>
      </w:r>
      <w:r>
        <w:t xml:space="preserve"> </w:t>
      </w:r>
    </w:p>
    <w:p w14:paraId="78BA5AA4" w14:textId="62055EDF" w:rsidR="000B6485" w:rsidRDefault="000B6485" w:rsidP="00676B7E">
      <w:r>
        <w:t>Two field items in the three records relate:</w:t>
      </w:r>
    </w:p>
    <w:p w14:paraId="483213D9" w14:textId="4AB1D309" w:rsidR="000B6485" w:rsidRPr="000B6485" w:rsidRDefault="000B6485" w:rsidP="000B6485">
      <w:pPr>
        <w:pStyle w:val="ListParagraph"/>
        <w:numPr>
          <w:ilvl w:val="0"/>
          <w:numId w:val="4"/>
        </w:numPr>
      </w:pPr>
      <w:r>
        <w:t xml:space="preserve">The </w:t>
      </w:r>
      <w:r>
        <w:rPr>
          <w:lang w:eastAsia="zh-CN"/>
        </w:rPr>
        <w:t>Inventory</w:t>
      </w:r>
      <w:r>
        <w:t xml:space="preserve"> record’s </w:t>
      </w:r>
      <w:r w:rsidRPr="000B6485">
        <w:rPr>
          <w:rFonts w:ascii="Calibri" w:eastAsia="Calibri" w:hAnsi="Calibri" w:cs="Times New Roman"/>
          <w:b/>
          <w:bCs/>
        </w:rPr>
        <w:t>Inventory Maintenance Policy</w:t>
      </w:r>
      <w:r w:rsidRPr="000B6485">
        <w:t xml:space="preserve"> </w:t>
      </w:r>
      <w:r>
        <w:t xml:space="preserve">ties the </w:t>
      </w:r>
      <w:r>
        <w:rPr>
          <w:lang w:eastAsia="zh-CN"/>
        </w:rPr>
        <w:t>inventory</w:t>
      </w:r>
      <w:r>
        <w:t xml:space="preserve"> </w:t>
      </w:r>
      <w:r w:rsidR="009F47B0">
        <w:t xml:space="preserve">to the </w:t>
      </w:r>
      <w:r w:rsidR="009F47B0" w:rsidRPr="000B6485">
        <w:rPr>
          <w:b/>
          <w:bCs/>
        </w:rPr>
        <w:t>IMPS</w:t>
      </w:r>
      <w:r w:rsidRPr="000B6485">
        <w:rPr>
          <w:b/>
          <w:bCs/>
        </w:rPr>
        <w:t xml:space="preserve">.  </w:t>
      </w:r>
    </w:p>
    <w:p w14:paraId="78D8F9A1" w14:textId="16369014" w:rsidR="00676B7E" w:rsidRDefault="000B6485" w:rsidP="000B6485">
      <w:pPr>
        <w:pStyle w:val="ListParagraph"/>
        <w:numPr>
          <w:ilvl w:val="0"/>
          <w:numId w:val="4"/>
        </w:numPr>
      </w:pPr>
      <w:r>
        <w:t xml:space="preserve">The </w:t>
      </w:r>
      <w:r w:rsidR="009F47B0">
        <w:t>Inventory record’s</w:t>
      </w:r>
      <w:r w:rsidR="00FB25EF">
        <w:t xml:space="preserve"> </w:t>
      </w:r>
      <w:r w:rsidR="00FB25EF" w:rsidRPr="000B6485">
        <w:rPr>
          <w:b/>
          <w:bCs/>
        </w:rPr>
        <w:t>Standard</w:t>
      </w:r>
      <w:r w:rsidR="009F47B0">
        <w:t xml:space="preserve"> </w:t>
      </w:r>
      <w:r w:rsidR="00201C52" w:rsidRPr="000B6485">
        <w:rPr>
          <w:b/>
          <w:bCs/>
        </w:rPr>
        <w:t>Distribution Form</w:t>
      </w:r>
      <w:r w:rsidR="00201C52">
        <w:t xml:space="preserve"> – </w:t>
      </w:r>
      <w:r>
        <w:t xml:space="preserve">must match </w:t>
      </w:r>
      <w:r w:rsidR="00201C52">
        <w:t xml:space="preserve">the </w:t>
      </w:r>
      <w:r w:rsidR="006F55D4" w:rsidRPr="000B6485">
        <w:rPr>
          <w:b/>
          <w:bCs/>
        </w:rPr>
        <w:t>IMPS</w:t>
      </w:r>
      <w:r w:rsidR="006F55D4">
        <w:t xml:space="preserve"> </w:t>
      </w:r>
      <w:r w:rsidR="006F55D4" w:rsidRPr="000B6485">
        <w:rPr>
          <w:b/>
          <w:bCs/>
        </w:rPr>
        <w:t>Distribution</w:t>
      </w:r>
      <w:r w:rsidR="009F47B0" w:rsidRPr="000B6485">
        <w:rPr>
          <w:b/>
          <w:bCs/>
        </w:rPr>
        <w:t xml:space="preserve"> </w:t>
      </w:r>
      <w:r w:rsidR="006F55D4" w:rsidRPr="000B6485">
        <w:rPr>
          <w:b/>
          <w:bCs/>
        </w:rPr>
        <w:t>Form</w:t>
      </w:r>
      <w:r w:rsidR="006F55D4">
        <w:t>.</w:t>
      </w:r>
    </w:p>
    <w:p w14:paraId="3E9C6C12" w14:textId="032A16DF" w:rsidR="009F47B0" w:rsidRDefault="00FB25EF" w:rsidP="00676B7E">
      <w:r>
        <w:rPr>
          <w:noProof/>
        </w:rPr>
        <w:drawing>
          <wp:inline distT="0" distB="0" distL="0" distR="0" wp14:anchorId="00BC2615" wp14:editId="23AD362B">
            <wp:extent cx="5943600" cy="388810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3"/>
                    <a:stretch>
                      <a:fillRect/>
                    </a:stretch>
                  </pic:blipFill>
                  <pic:spPr>
                    <a:xfrm>
                      <a:off x="0" y="0"/>
                      <a:ext cx="5943600" cy="3888105"/>
                    </a:xfrm>
                    <a:prstGeom prst="rect">
                      <a:avLst/>
                    </a:prstGeom>
                  </pic:spPr>
                </pic:pic>
              </a:graphicData>
            </a:graphic>
          </wp:inline>
        </w:drawing>
      </w:r>
    </w:p>
    <w:p w14:paraId="06D242AE" w14:textId="4B54BE24" w:rsidR="00F43919" w:rsidRDefault="00F43919">
      <w:pPr>
        <w:spacing w:after="160" w:line="259" w:lineRule="auto"/>
      </w:pPr>
      <w:r>
        <w:br w:type="page"/>
      </w:r>
    </w:p>
    <w:p w14:paraId="0750ED23" w14:textId="73B850CC" w:rsidR="00F44A66" w:rsidRDefault="0081118B" w:rsidP="0081118B">
      <w:pPr>
        <w:pStyle w:val="Heading5"/>
      </w:pPr>
      <w:bookmarkStart w:id="2" w:name="_Toc108704543"/>
      <w:r>
        <w:lastRenderedPageBreak/>
        <w:t xml:space="preserve">New Inventory </w:t>
      </w:r>
      <w:proofErr w:type="spellStart"/>
      <w:r>
        <w:t>Maint</w:t>
      </w:r>
      <w:proofErr w:type="spellEnd"/>
      <w:r>
        <w:t xml:space="preserve"> Policy Season </w:t>
      </w:r>
      <w:r w:rsidR="00E67E6D">
        <w:t xml:space="preserve">(IMPS) </w:t>
      </w:r>
      <w:r>
        <w:t>Dataview</w:t>
      </w:r>
      <w:bookmarkEnd w:id="2"/>
    </w:p>
    <w:p w14:paraId="492C09FE" w14:textId="103FB0AB" w:rsidR="00E8447B" w:rsidRDefault="006E47E4" w:rsidP="0081118B">
      <w:pPr>
        <w:rPr>
          <w:lang w:eastAsia="zh-CN"/>
        </w:rPr>
      </w:pPr>
      <w:r>
        <w:rPr>
          <w:lang w:eastAsia="zh-CN"/>
        </w:rPr>
        <w:t xml:space="preserve">To open the </w:t>
      </w:r>
      <w:r w:rsidRPr="00E8447B">
        <w:rPr>
          <w:b/>
          <w:bCs/>
        </w:rPr>
        <w:t xml:space="preserve">Get Inventory </w:t>
      </w:r>
      <w:proofErr w:type="spellStart"/>
      <w:r w:rsidRPr="00E8447B">
        <w:rPr>
          <w:b/>
          <w:bCs/>
        </w:rPr>
        <w:t>Maint</w:t>
      </w:r>
      <w:proofErr w:type="spellEnd"/>
      <w:r w:rsidRPr="00E8447B">
        <w:rPr>
          <w:b/>
          <w:bCs/>
        </w:rPr>
        <w:t xml:space="preserve"> Policy Season</w:t>
      </w:r>
      <w:r>
        <w:t xml:space="preserve"> </w:t>
      </w:r>
      <w:r>
        <w:rPr>
          <w:noProof/>
        </w:rPr>
        <w:t>dataview</w:t>
      </w:r>
      <w:r w:rsidR="00676B7E">
        <w:rPr>
          <w:noProof/>
        </w:rPr>
        <w:t xml:space="preserve">, select </w:t>
      </w:r>
      <w:r w:rsidR="00676B7E" w:rsidRPr="00676B7E">
        <w:rPr>
          <w:b/>
          <w:bCs/>
          <w:noProof/>
        </w:rPr>
        <w:t>I</w:t>
      </w:r>
      <w:r w:rsidR="00E8447B" w:rsidRPr="00676B7E">
        <w:rPr>
          <w:b/>
          <w:bCs/>
          <w:lang w:eastAsia="zh-CN"/>
        </w:rPr>
        <w:t>nventory</w:t>
      </w:r>
      <w:r w:rsidR="00E8447B">
        <w:rPr>
          <w:lang w:eastAsia="zh-CN"/>
        </w:rPr>
        <w:t xml:space="preserve"> </w:t>
      </w:r>
      <w:r w:rsidR="00676B7E">
        <w:rPr>
          <w:lang w:eastAsia="zh-CN"/>
        </w:rPr>
        <w:t xml:space="preserve">in </w:t>
      </w:r>
      <w:r w:rsidR="00676B7E" w:rsidRPr="00676B7E">
        <w:rPr>
          <w:b/>
          <w:bCs/>
          <w:lang w:eastAsia="zh-CN"/>
        </w:rPr>
        <w:t>A</w:t>
      </w:r>
      <w:r w:rsidR="00E8447B" w:rsidRPr="00676B7E">
        <w:rPr>
          <w:b/>
          <w:bCs/>
          <w:lang w:eastAsia="zh-CN"/>
        </w:rPr>
        <w:t>rea</w:t>
      </w:r>
      <w:r w:rsidR="00E8447B">
        <w:rPr>
          <w:noProof/>
        </w:rPr>
        <w:t>.</w:t>
      </w:r>
      <w:r w:rsidR="00676B7E">
        <w:rPr>
          <w:noProof/>
        </w:rPr>
        <w:br/>
      </w:r>
      <w:r w:rsidR="00804233">
        <w:rPr>
          <w:noProof/>
        </w:rPr>
        <w:drawing>
          <wp:inline distT="0" distB="0" distL="0" distR="0" wp14:anchorId="2209152F" wp14:editId="29FAC59F">
            <wp:extent cx="2351819" cy="2197751"/>
            <wp:effectExtent l="19050" t="19050" r="1079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5751" cy="2210771"/>
                    </a:xfrm>
                    <a:prstGeom prst="rect">
                      <a:avLst/>
                    </a:prstGeom>
                    <a:ln>
                      <a:solidFill>
                        <a:schemeClr val="accent1"/>
                      </a:solidFill>
                    </a:ln>
                  </pic:spPr>
                </pic:pic>
              </a:graphicData>
            </a:graphic>
          </wp:inline>
        </w:drawing>
      </w:r>
      <w:r w:rsidR="00E8447B">
        <w:rPr>
          <w:lang w:eastAsia="zh-CN"/>
        </w:rPr>
        <w:t xml:space="preserve">    </w:t>
      </w:r>
    </w:p>
    <w:p w14:paraId="536F27F4" w14:textId="357D1459" w:rsidR="00E8447B" w:rsidRDefault="00E8447B" w:rsidP="00E8447B">
      <w:pPr>
        <w:pStyle w:val="Heading5"/>
      </w:pPr>
      <w:bookmarkStart w:id="3" w:name="_Toc108704544"/>
      <w:r>
        <w:t xml:space="preserve">New </w:t>
      </w:r>
      <w:r w:rsidR="00E67E6D">
        <w:t xml:space="preserve">IMPS </w:t>
      </w:r>
      <w:r>
        <w:rPr>
          <w:noProof/>
        </w:rPr>
        <w:t>dataview</w:t>
      </w:r>
      <w:r>
        <w:t xml:space="preserve"> fields explained</w:t>
      </w:r>
      <w:bookmarkEnd w:id="3"/>
    </w:p>
    <w:p w14:paraId="1B81E683" w14:textId="08AFF398" w:rsidR="00E8447B" w:rsidRDefault="00E8447B">
      <w:pPr>
        <w:spacing w:after="160" w:line="259" w:lineRule="auto"/>
        <w:rPr>
          <w:lang w:eastAsia="zh-CN"/>
        </w:rPr>
      </w:pPr>
      <w:r>
        <w:rPr>
          <w:noProof/>
        </w:rPr>
        <w:drawing>
          <wp:inline distT="0" distB="0" distL="0" distR="0" wp14:anchorId="3C48F946" wp14:editId="6CE66B99">
            <wp:extent cx="1991646" cy="194355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423" cy="1960905"/>
                    </a:xfrm>
                    <a:prstGeom prst="rect">
                      <a:avLst/>
                    </a:prstGeom>
                    <a:noFill/>
                    <a:ln>
                      <a:noFill/>
                    </a:ln>
                  </pic:spPr>
                </pic:pic>
              </a:graphicData>
            </a:graphic>
          </wp:inline>
        </w:drawing>
      </w:r>
    </w:p>
    <w:p w14:paraId="5C463433" w14:textId="77777777" w:rsidR="00E8447B" w:rsidRDefault="00E8447B">
      <w:pPr>
        <w:spacing w:after="160" w:line="259" w:lineRule="auto"/>
        <w:rPr>
          <w:lang w:eastAsia="zh-CN"/>
        </w:rPr>
      </w:pPr>
    </w:p>
    <w:p w14:paraId="56B85ADC" w14:textId="0E8FC7FC" w:rsidR="00E8447B" w:rsidRDefault="000C5011" w:rsidP="00676B7E">
      <w:pPr>
        <w:pStyle w:val="Heading6"/>
      </w:pPr>
      <w:r>
        <w:t>Required Fields</w:t>
      </w:r>
    </w:p>
    <w:p w14:paraId="5D4A8942" w14:textId="76695D25" w:rsidR="000C5011" w:rsidRDefault="000C5011">
      <w:pPr>
        <w:spacing w:after="160" w:line="259" w:lineRule="auto"/>
        <w:rPr>
          <w:lang w:eastAsia="zh-CN"/>
        </w:rPr>
      </w:pPr>
      <w:r>
        <w:rPr>
          <w:noProof/>
        </w:rPr>
        <w:drawing>
          <wp:inline distT="0" distB="0" distL="0" distR="0" wp14:anchorId="776A2B8D" wp14:editId="40B7AEA9">
            <wp:extent cx="5943600" cy="1344295"/>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943600" cy="1344295"/>
                    </a:xfrm>
                    <a:prstGeom prst="rect">
                      <a:avLst/>
                    </a:prstGeom>
                  </pic:spPr>
                </pic:pic>
              </a:graphicData>
            </a:graphic>
          </wp:inline>
        </w:drawing>
      </w:r>
      <w:r w:rsidR="00E8447B">
        <w:rPr>
          <w:lang w:eastAsia="zh-CN"/>
        </w:rPr>
        <w:t xml:space="preserve"> </w:t>
      </w:r>
    </w:p>
    <w:p w14:paraId="43274A27" w14:textId="19C2BA72" w:rsidR="00676B7E" w:rsidRPr="00676B7E" w:rsidRDefault="00676B7E" w:rsidP="00676B7E">
      <w:pPr>
        <w:pStyle w:val="ListParagraph"/>
        <w:numPr>
          <w:ilvl w:val="0"/>
          <w:numId w:val="2"/>
        </w:numPr>
        <w:spacing w:after="160" w:line="259" w:lineRule="auto"/>
        <w:rPr>
          <w:lang w:eastAsia="zh-CN"/>
        </w:rPr>
      </w:pPr>
      <w:r w:rsidRPr="00676B7E">
        <w:rPr>
          <w:rFonts w:ascii="Calibri" w:eastAsia="Calibri" w:hAnsi="Calibri" w:cs="Times New Roman"/>
          <w:lang w:eastAsia="zh-CN"/>
        </w:rPr>
        <w:t>Inventory Maintenance Policy</w:t>
      </w:r>
    </w:p>
    <w:p w14:paraId="5E77683A" w14:textId="25FBA985" w:rsidR="00676B7E" w:rsidRDefault="00676B7E" w:rsidP="00676B7E">
      <w:pPr>
        <w:pStyle w:val="ListParagraph"/>
        <w:numPr>
          <w:ilvl w:val="0"/>
          <w:numId w:val="2"/>
        </w:numPr>
        <w:spacing w:after="160" w:line="259" w:lineRule="auto"/>
        <w:rPr>
          <w:lang w:eastAsia="zh-CN"/>
        </w:rPr>
      </w:pPr>
      <w:r>
        <w:rPr>
          <w:lang w:eastAsia="zh-CN"/>
        </w:rPr>
        <w:t>Distribution Form</w:t>
      </w:r>
    </w:p>
    <w:p w14:paraId="42A312C8" w14:textId="7FF329C7" w:rsidR="00676B7E" w:rsidRDefault="00676B7E" w:rsidP="00676B7E">
      <w:pPr>
        <w:pStyle w:val="ListParagraph"/>
        <w:numPr>
          <w:ilvl w:val="0"/>
          <w:numId w:val="2"/>
        </w:numPr>
        <w:spacing w:after="160" w:line="259" w:lineRule="auto"/>
        <w:rPr>
          <w:lang w:eastAsia="zh-CN"/>
        </w:rPr>
      </w:pPr>
      <w:r>
        <w:rPr>
          <w:lang w:eastAsia="zh-CN"/>
        </w:rPr>
        <w:t>Standard Distribution Quantity</w:t>
      </w:r>
    </w:p>
    <w:p w14:paraId="2E96B16D" w14:textId="2D5A3321" w:rsidR="00676B7E" w:rsidRDefault="00676B7E" w:rsidP="00676B7E">
      <w:pPr>
        <w:pStyle w:val="ListParagraph"/>
        <w:numPr>
          <w:ilvl w:val="0"/>
          <w:numId w:val="2"/>
        </w:numPr>
        <w:spacing w:after="160" w:line="259" w:lineRule="auto"/>
        <w:rPr>
          <w:lang w:eastAsia="zh-CN"/>
        </w:rPr>
      </w:pPr>
      <w:r>
        <w:rPr>
          <w:lang w:eastAsia="zh-CN"/>
        </w:rPr>
        <w:t>Seasonal Start Date</w:t>
      </w:r>
    </w:p>
    <w:p w14:paraId="57FA11EA" w14:textId="5CC72C48" w:rsidR="00676B7E" w:rsidRDefault="00676B7E" w:rsidP="00676B7E">
      <w:pPr>
        <w:pStyle w:val="ListParagraph"/>
        <w:numPr>
          <w:ilvl w:val="0"/>
          <w:numId w:val="2"/>
        </w:numPr>
        <w:spacing w:after="160" w:line="259" w:lineRule="auto"/>
        <w:rPr>
          <w:lang w:eastAsia="zh-CN"/>
        </w:rPr>
      </w:pPr>
      <w:r>
        <w:rPr>
          <w:lang w:eastAsia="zh-CN"/>
        </w:rPr>
        <w:t>Seasonal End Date</w:t>
      </w:r>
    </w:p>
    <w:tbl>
      <w:tblPr>
        <w:tblW w:w="9648" w:type="dxa"/>
        <w:shd w:val="clear" w:color="000000" w:fill="FFFFFF"/>
        <w:tblLayout w:type="fixed"/>
        <w:tblLook w:val="04A0" w:firstRow="1" w:lastRow="0" w:firstColumn="1" w:lastColumn="0" w:noHBand="0" w:noVBand="1"/>
      </w:tblPr>
      <w:tblGrid>
        <w:gridCol w:w="810"/>
        <w:gridCol w:w="8838"/>
      </w:tblGrid>
      <w:tr w:rsidR="00133BE5" w:rsidRPr="00597272" w14:paraId="46A9FA4F" w14:textId="77777777" w:rsidTr="00A1731F">
        <w:tc>
          <w:tcPr>
            <w:tcW w:w="810" w:type="dxa"/>
            <w:shd w:val="clear" w:color="000000" w:fill="FFFFFF"/>
          </w:tcPr>
          <w:p w14:paraId="5F9683B3" w14:textId="77777777" w:rsidR="00133BE5" w:rsidRPr="00494E5F" w:rsidRDefault="00133BE5" w:rsidP="00A1731F">
            <w:pPr>
              <w:spacing w:after="240"/>
              <w:rPr>
                <w:noProof/>
              </w:rPr>
            </w:pPr>
            <w:r>
              <w:rPr>
                <w:noProof/>
                <w:sz w:val="20"/>
                <w:szCs w:val="20"/>
              </w:rPr>
              <w:lastRenderedPageBreak/>
              <w:drawing>
                <wp:inline distT="0" distB="0" distL="0" distR="0" wp14:anchorId="01F48A1C" wp14:editId="1D630CBF">
                  <wp:extent cx="407662" cy="483861"/>
                  <wp:effectExtent l="0" t="0" r="0" b="0"/>
                  <wp:docPr id="2" name="Picture 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C474EE2" w14:textId="555CD51B" w:rsidR="00133BE5" w:rsidRPr="009E61E8" w:rsidRDefault="00133BE5" w:rsidP="00133BE5">
            <w:pPr>
              <w:spacing w:after="0"/>
            </w:pPr>
            <w:r w:rsidRPr="00E03D4B">
              <w:rPr>
                <w:b/>
                <w:bCs/>
                <w:lang w:eastAsia="zh-CN"/>
              </w:rPr>
              <w:t>Date</w:t>
            </w:r>
            <w:r>
              <w:rPr>
                <w:lang w:eastAsia="zh-CN"/>
              </w:rPr>
              <w:t xml:space="preserve"> and </w:t>
            </w:r>
            <w:r w:rsidRPr="00E03D4B">
              <w:rPr>
                <w:b/>
                <w:bCs/>
                <w:lang w:eastAsia="zh-CN"/>
              </w:rPr>
              <w:t>Date Format</w:t>
            </w:r>
            <w:r>
              <w:rPr>
                <w:lang w:eastAsia="zh-CN"/>
              </w:rPr>
              <w:t xml:space="preserve"> </w:t>
            </w:r>
            <w:r w:rsidR="00E03D4B">
              <w:rPr>
                <w:lang w:eastAsia="zh-CN"/>
              </w:rPr>
              <w:t>f</w:t>
            </w:r>
            <w:r>
              <w:rPr>
                <w:lang w:eastAsia="zh-CN"/>
              </w:rPr>
              <w:t xml:space="preserve">ields – when you enter a full date </w:t>
            </w:r>
            <w:r w:rsidR="00F86CFC">
              <w:rPr>
                <w:lang w:eastAsia="zh-CN"/>
              </w:rPr>
              <w:t xml:space="preserve">including the </w:t>
            </w:r>
            <w:r>
              <w:rPr>
                <w:lang w:eastAsia="zh-CN"/>
              </w:rPr>
              <w:t>year</w:t>
            </w:r>
            <w:r>
              <w:t xml:space="preserve">, only the month and day is used.  This is intentional, so that a curator will not need to manually change the dates every year, with the assumption that the same seasonal timeframes are consistent year after year. </w:t>
            </w:r>
            <w:r w:rsidR="00F86CFC">
              <w:t xml:space="preserve"> If necessary, the dates can be changed by the record owner or someone with the proper Update permission.</w:t>
            </w:r>
            <w:r w:rsidR="00E03D4B">
              <w:br/>
            </w:r>
            <w:r w:rsidR="00E03D4B">
              <w:br/>
              <w:t xml:space="preserve">The </w:t>
            </w:r>
            <w:r w:rsidR="00E03D4B" w:rsidRPr="00E03D4B">
              <w:rPr>
                <w:b/>
                <w:bCs/>
              </w:rPr>
              <w:t>Note</w:t>
            </w:r>
            <w:r w:rsidR="00E03D4B">
              <w:t xml:space="preserve"> field is an internal note and does not display on the website.</w:t>
            </w:r>
          </w:p>
        </w:tc>
      </w:tr>
    </w:tbl>
    <w:p w14:paraId="153B855B" w14:textId="05C817E1" w:rsidR="00E03D4B" w:rsidRDefault="00E03D4B" w:rsidP="00E03D4B"/>
    <w:tbl>
      <w:tblPr>
        <w:tblW w:w="9648" w:type="dxa"/>
        <w:shd w:val="clear" w:color="000000" w:fill="FFFFFF"/>
        <w:tblLayout w:type="fixed"/>
        <w:tblLook w:val="04A0" w:firstRow="1" w:lastRow="0" w:firstColumn="1" w:lastColumn="0" w:noHBand="0" w:noVBand="1"/>
      </w:tblPr>
      <w:tblGrid>
        <w:gridCol w:w="810"/>
        <w:gridCol w:w="8838"/>
      </w:tblGrid>
      <w:tr w:rsidR="00E03D4B" w:rsidRPr="00597272" w14:paraId="0D55CBBF" w14:textId="77777777" w:rsidTr="00A1731F">
        <w:tc>
          <w:tcPr>
            <w:tcW w:w="810" w:type="dxa"/>
            <w:shd w:val="clear" w:color="000000" w:fill="FFFFFF"/>
          </w:tcPr>
          <w:p w14:paraId="4716540B" w14:textId="77777777" w:rsidR="00E03D4B" w:rsidRPr="00494E5F" w:rsidRDefault="00E03D4B" w:rsidP="00A1731F">
            <w:pPr>
              <w:spacing w:after="240"/>
              <w:rPr>
                <w:noProof/>
              </w:rPr>
            </w:pPr>
            <w:r>
              <w:rPr>
                <w:noProof/>
                <w:sz w:val="20"/>
                <w:szCs w:val="20"/>
              </w:rPr>
              <w:drawing>
                <wp:inline distT="0" distB="0" distL="0" distR="0" wp14:anchorId="2F76208D" wp14:editId="61CB839B">
                  <wp:extent cx="407662" cy="483861"/>
                  <wp:effectExtent l="0" t="0" r="0" b="0"/>
                  <wp:docPr id="5" name="Picture 5"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EA2F9CC" w14:textId="4B5D46E6" w:rsidR="00E03D4B" w:rsidRPr="009E61E8" w:rsidRDefault="00E03D4B" w:rsidP="00A1731F">
            <w:pPr>
              <w:spacing w:after="0"/>
            </w:pPr>
            <w:r>
              <w:t xml:space="preserve">The IMPS </w:t>
            </w:r>
            <w:r w:rsidRPr="00E03D4B">
              <w:rPr>
                <w:b/>
                <w:bCs/>
              </w:rPr>
              <w:t>Standard Distribution Quantity</w:t>
            </w:r>
            <w:r>
              <w:t xml:space="preserve"> overrides the Inventory record’s </w:t>
            </w:r>
            <w:r w:rsidRPr="00E03D4B">
              <w:rPr>
                <w:b/>
                <w:bCs/>
              </w:rPr>
              <w:t>Standard Distribution Quantity</w:t>
            </w:r>
            <w:r w:rsidR="00FF0993" w:rsidRPr="00FF0993">
              <w:t>.</w:t>
            </w:r>
            <w:r>
              <w:br/>
            </w:r>
            <w:r w:rsidRPr="00E03D4B">
              <w:rPr>
                <w:noProof/>
              </w:rPr>
              <w:drawing>
                <wp:inline distT="0" distB="0" distL="0" distR="0" wp14:anchorId="35151EE0" wp14:editId="4CA03DC1">
                  <wp:extent cx="5474970" cy="946785"/>
                  <wp:effectExtent l="19050" t="19050" r="1143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4970" cy="946785"/>
                          </a:xfrm>
                          <a:prstGeom prst="rect">
                            <a:avLst/>
                          </a:prstGeom>
                          <a:ln>
                            <a:solidFill>
                              <a:schemeClr val="accent1"/>
                            </a:solidFill>
                          </a:ln>
                        </pic:spPr>
                      </pic:pic>
                    </a:graphicData>
                  </a:graphic>
                </wp:inline>
              </w:drawing>
            </w:r>
            <w:r>
              <w:t xml:space="preserve"> </w:t>
            </w:r>
            <w:r w:rsidR="00FF0993" w:rsidRPr="00E03D4B">
              <w:rPr>
                <w:noProof/>
              </w:rPr>
              <w:drawing>
                <wp:inline distT="0" distB="0" distL="0" distR="0" wp14:anchorId="5475C443" wp14:editId="6B41E168">
                  <wp:extent cx="5465808" cy="1091410"/>
                  <wp:effectExtent l="19050" t="19050" r="20955" b="13970"/>
                  <wp:docPr id="13" name="Picture 1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low confidence"/>
                          <pic:cNvPicPr/>
                        </pic:nvPicPr>
                        <pic:blipFill>
                          <a:blip r:embed="rId18"/>
                          <a:stretch>
                            <a:fillRect/>
                          </a:stretch>
                        </pic:blipFill>
                        <pic:spPr>
                          <a:xfrm>
                            <a:off x="0" y="0"/>
                            <a:ext cx="5505399" cy="1099315"/>
                          </a:xfrm>
                          <a:prstGeom prst="rect">
                            <a:avLst/>
                          </a:prstGeom>
                          <a:ln>
                            <a:solidFill>
                              <a:schemeClr val="accent1"/>
                            </a:solidFill>
                          </a:ln>
                        </pic:spPr>
                      </pic:pic>
                    </a:graphicData>
                  </a:graphic>
                </wp:inline>
              </w:drawing>
            </w:r>
            <w:r w:rsidR="00FF0993">
              <w:rPr>
                <w:noProof/>
              </w:rPr>
              <w:drawing>
                <wp:inline distT="0" distB="0" distL="0" distR="0" wp14:anchorId="2619ED44" wp14:editId="442B3FD6">
                  <wp:extent cx="5434095" cy="1675513"/>
                  <wp:effectExtent l="19050" t="19050" r="14605" b="2032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9"/>
                          <a:stretch>
                            <a:fillRect/>
                          </a:stretch>
                        </pic:blipFill>
                        <pic:spPr>
                          <a:xfrm>
                            <a:off x="0" y="0"/>
                            <a:ext cx="5460264" cy="1683582"/>
                          </a:xfrm>
                          <a:prstGeom prst="rect">
                            <a:avLst/>
                          </a:prstGeom>
                          <a:ln>
                            <a:solidFill>
                              <a:schemeClr val="accent1"/>
                            </a:solidFill>
                          </a:ln>
                        </pic:spPr>
                      </pic:pic>
                    </a:graphicData>
                  </a:graphic>
                </wp:inline>
              </w:drawing>
            </w:r>
          </w:p>
        </w:tc>
      </w:tr>
    </w:tbl>
    <w:p w14:paraId="1C1CCF81" w14:textId="5A48B3CD" w:rsidR="00E03D4B" w:rsidRDefault="00E03D4B" w:rsidP="00133BE5"/>
    <w:p w14:paraId="4A80663C" w14:textId="77777777" w:rsidR="00A63A19" w:rsidRDefault="00A63A19">
      <w:pPr>
        <w:spacing w:after="160" w:line="259" w:lineRule="auto"/>
        <w:rPr>
          <w:rFonts w:ascii="Calibri" w:eastAsia="Times New Roman" w:hAnsi="Calibri" w:cs="Times New Roman"/>
          <w:b/>
          <w:color w:val="006633"/>
          <w:sz w:val="24"/>
          <w:szCs w:val="24"/>
          <w:lang w:eastAsia="zh-CN"/>
        </w:rPr>
      </w:pPr>
      <w:r>
        <w:br w:type="page"/>
      </w:r>
    </w:p>
    <w:p w14:paraId="09725A2B" w14:textId="1EE588AD" w:rsidR="00201C52" w:rsidRDefault="00BD47A6" w:rsidP="00A63A19">
      <w:pPr>
        <w:pStyle w:val="Heading4"/>
      </w:pPr>
      <w:bookmarkStart w:id="4" w:name="_Toc108704545"/>
      <w:r>
        <w:lastRenderedPageBreak/>
        <w:t xml:space="preserve">Seasonal </w:t>
      </w:r>
      <w:r w:rsidR="00201C52">
        <w:t xml:space="preserve">Inventory </w:t>
      </w:r>
      <w:r w:rsidR="00A63A19">
        <w:t>Examples</w:t>
      </w:r>
      <w:bookmarkEnd w:id="4"/>
    </w:p>
    <w:p w14:paraId="51201D8E" w14:textId="57927A36" w:rsidR="00A63A19" w:rsidRDefault="00A63A19" w:rsidP="00E67E6D">
      <w:pPr>
        <w:pStyle w:val="Heading5"/>
      </w:pPr>
      <w:bookmarkStart w:id="5" w:name="_Toc108704546"/>
      <w:r>
        <w:t>Not in season</w:t>
      </w:r>
      <w:bookmarkEnd w:id="5"/>
    </w:p>
    <w:p w14:paraId="2967603B" w14:textId="02C93D47" w:rsidR="00E67E6D" w:rsidRPr="00E67E6D" w:rsidRDefault="00E67E6D" w:rsidP="00E67E6D">
      <w:pPr>
        <w:rPr>
          <w:lang w:eastAsia="zh-CN"/>
        </w:rPr>
      </w:pPr>
      <w:r>
        <w:rPr>
          <w:lang w:eastAsia="zh-CN"/>
        </w:rPr>
        <w:t>IMPS was set for the date range June 1 thru June 15; request date was June29.</w:t>
      </w:r>
    </w:p>
    <w:p w14:paraId="6A0BF259" w14:textId="0EACC3ED" w:rsidR="002E0F7A" w:rsidRDefault="00E67E6D" w:rsidP="00F13641">
      <w:r>
        <w:rPr>
          <w:noProof/>
        </w:rPr>
        <w:drawing>
          <wp:inline distT="0" distB="0" distL="0" distR="0" wp14:anchorId="14E515D8" wp14:editId="7BD3CB03">
            <wp:extent cx="5943600" cy="179070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0"/>
                    <a:stretch>
                      <a:fillRect/>
                    </a:stretch>
                  </pic:blipFill>
                  <pic:spPr>
                    <a:xfrm>
                      <a:off x="0" y="0"/>
                      <a:ext cx="5943600" cy="1790700"/>
                    </a:xfrm>
                    <a:prstGeom prst="rect">
                      <a:avLst/>
                    </a:prstGeom>
                  </pic:spPr>
                </pic:pic>
              </a:graphicData>
            </a:graphic>
          </wp:inline>
        </w:drawing>
      </w:r>
    </w:p>
    <w:p w14:paraId="25200B46" w14:textId="77154E35" w:rsidR="002E0F7A" w:rsidRDefault="00E67E6D" w:rsidP="00E67E6D">
      <w:pPr>
        <w:pStyle w:val="Heading5"/>
        <w:rPr>
          <w:noProof/>
        </w:rPr>
      </w:pPr>
      <w:bookmarkStart w:id="6" w:name="_Toc108704547"/>
      <w:r>
        <w:rPr>
          <w:noProof/>
        </w:rPr>
        <w:t>In season</w:t>
      </w:r>
      <w:bookmarkEnd w:id="6"/>
    </w:p>
    <w:p w14:paraId="7726E3F9" w14:textId="2A04C065" w:rsidR="00E67E6D" w:rsidRPr="00E67E6D" w:rsidRDefault="00E67E6D" w:rsidP="00E67E6D">
      <w:pPr>
        <w:rPr>
          <w:lang w:eastAsia="zh-CN"/>
        </w:rPr>
      </w:pPr>
      <w:r>
        <w:rPr>
          <w:lang w:eastAsia="zh-CN"/>
        </w:rPr>
        <w:t>IMPS was set for the date range June 1 thru June 30; request date was June29.</w:t>
      </w:r>
    </w:p>
    <w:p w14:paraId="40492210" w14:textId="34482B16" w:rsidR="00E67E6D" w:rsidRDefault="00E67E6D" w:rsidP="00E67E6D">
      <w:pPr>
        <w:rPr>
          <w:lang w:eastAsia="zh-CN"/>
        </w:rPr>
      </w:pPr>
      <w:r>
        <w:rPr>
          <w:noProof/>
        </w:rPr>
        <w:drawing>
          <wp:inline distT="0" distB="0" distL="0" distR="0" wp14:anchorId="3ED95B78" wp14:editId="1079E4AE">
            <wp:extent cx="4889500" cy="1423492"/>
            <wp:effectExtent l="0" t="0" r="6350" b="571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1"/>
                    <a:stretch>
                      <a:fillRect/>
                    </a:stretch>
                  </pic:blipFill>
                  <pic:spPr>
                    <a:xfrm>
                      <a:off x="0" y="0"/>
                      <a:ext cx="4913892" cy="1430593"/>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77D8C" w:rsidRPr="00597272" w14:paraId="78C42CF7" w14:textId="77777777" w:rsidTr="00A1731F">
        <w:tc>
          <w:tcPr>
            <w:tcW w:w="810" w:type="dxa"/>
            <w:shd w:val="clear" w:color="000000" w:fill="FFFFFF"/>
          </w:tcPr>
          <w:p w14:paraId="6E815E4C" w14:textId="77777777" w:rsidR="00477D8C" w:rsidRPr="00494E5F" w:rsidRDefault="00477D8C" w:rsidP="00A1731F">
            <w:pPr>
              <w:spacing w:after="240"/>
              <w:rPr>
                <w:noProof/>
              </w:rPr>
            </w:pPr>
            <w:r>
              <w:rPr>
                <w:noProof/>
                <w:sz w:val="20"/>
                <w:szCs w:val="20"/>
              </w:rPr>
              <w:drawing>
                <wp:inline distT="0" distB="0" distL="0" distR="0" wp14:anchorId="18FDFC57" wp14:editId="62C64BC7">
                  <wp:extent cx="407662" cy="483861"/>
                  <wp:effectExtent l="0" t="0" r="0" b="0"/>
                  <wp:docPr id="7" name="Picture 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FAB75EA" w14:textId="466AB448" w:rsidR="00477D8C" w:rsidRDefault="00477D8C" w:rsidP="00A1731F">
            <w:pPr>
              <w:spacing w:after="0"/>
            </w:pPr>
            <w:r>
              <w:t xml:space="preserve">The </w:t>
            </w:r>
            <w:r w:rsidRPr="00477D8C">
              <w:rPr>
                <w:b/>
                <w:bCs/>
              </w:rPr>
              <w:t>Note</w:t>
            </w:r>
            <w:r>
              <w:t xml:space="preserve"> field in the PW’s Availability table </w:t>
            </w:r>
            <w:r w:rsidR="00EA5114">
              <w:t xml:space="preserve">displays </w:t>
            </w:r>
            <w:r>
              <w:t>the</w:t>
            </w:r>
            <w:r w:rsidR="00EA5114">
              <w:t xml:space="preserve"> text stored in the</w:t>
            </w:r>
            <w:r>
              <w:t xml:space="preserve"> inventory record’s </w:t>
            </w:r>
            <w:r w:rsidRPr="00477D8C">
              <w:rPr>
                <w:b/>
                <w:bCs/>
              </w:rPr>
              <w:t>Web Availability Note</w:t>
            </w:r>
            <w:r>
              <w:t xml:space="preserve"> field. </w:t>
            </w:r>
            <w:r>
              <w:br/>
            </w:r>
            <w:r w:rsidR="00EA5114">
              <w:rPr>
                <w:noProof/>
              </w:rPr>
              <w:drawing>
                <wp:inline distT="0" distB="0" distL="0" distR="0" wp14:anchorId="06931017" wp14:editId="15A61E70">
                  <wp:extent cx="3943350" cy="2466691"/>
                  <wp:effectExtent l="57150" t="57150" r="95250" b="863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7232" cy="2469119"/>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pic:spPr>
                      </pic:pic>
                    </a:graphicData>
                  </a:graphic>
                </wp:inline>
              </w:drawing>
            </w:r>
          </w:p>
          <w:p w14:paraId="740B8397" w14:textId="644687C1" w:rsidR="00477D8C" w:rsidRPr="009E61E8" w:rsidRDefault="00477D8C" w:rsidP="00A1731F">
            <w:pPr>
              <w:spacing w:after="0"/>
            </w:pPr>
          </w:p>
        </w:tc>
      </w:tr>
    </w:tbl>
    <w:p w14:paraId="21D3A85E" w14:textId="7EC739DE" w:rsidR="002E0F7A" w:rsidRDefault="00BD47A6" w:rsidP="002E0F7A">
      <w:pPr>
        <w:pStyle w:val="Heading4"/>
      </w:pPr>
      <w:bookmarkStart w:id="7" w:name="_Toc108704548"/>
      <w:r>
        <w:lastRenderedPageBreak/>
        <w:t>Appendix: Change Notes</w:t>
      </w:r>
      <w:bookmarkStart w:id="8" w:name="change_notes"/>
      <w:bookmarkEnd w:id="7"/>
      <w:bookmarkEnd w:id="8"/>
    </w:p>
    <w:p w14:paraId="3C0404CA" w14:textId="01389F11" w:rsidR="00BD47A6" w:rsidRDefault="00BD47A6" w:rsidP="00BD47A6">
      <w:pPr>
        <w:rPr>
          <w:lang w:eastAsia="zh-CN"/>
        </w:rPr>
      </w:pPr>
    </w:p>
    <w:p w14:paraId="743AEEF1" w14:textId="3EF7BC6C" w:rsidR="00BD47A6" w:rsidRDefault="00BD47A6" w:rsidP="00BD47A6">
      <w:pPr>
        <w:pStyle w:val="ListParagraph"/>
        <w:numPr>
          <w:ilvl w:val="0"/>
          <w:numId w:val="5"/>
        </w:numPr>
        <w:rPr>
          <w:lang w:eastAsia="zh-CN"/>
        </w:rPr>
      </w:pPr>
      <w:r>
        <w:rPr>
          <w:lang w:eastAsia="zh-CN"/>
        </w:rPr>
        <w:t>June 30, 2022</w:t>
      </w:r>
      <w:r>
        <w:rPr>
          <w:lang w:eastAsia="zh-CN"/>
        </w:rPr>
        <w:br/>
        <w:t>Initial document</w:t>
      </w:r>
      <w:r w:rsidR="00477D8C">
        <w:rPr>
          <w:lang w:eastAsia="zh-CN"/>
        </w:rPr>
        <w:br/>
      </w:r>
    </w:p>
    <w:p w14:paraId="244258E5" w14:textId="6FA55203" w:rsidR="00477D8C" w:rsidRDefault="00477D8C" w:rsidP="00477D8C">
      <w:pPr>
        <w:pStyle w:val="ListParagraph"/>
        <w:numPr>
          <w:ilvl w:val="0"/>
          <w:numId w:val="5"/>
        </w:numPr>
        <w:rPr>
          <w:lang w:eastAsia="zh-CN"/>
        </w:rPr>
      </w:pPr>
      <w:r>
        <w:rPr>
          <w:lang w:eastAsia="zh-CN"/>
        </w:rPr>
        <w:t>July 14, 2022</w:t>
      </w:r>
      <w:r>
        <w:rPr>
          <w:lang w:eastAsia="zh-CN"/>
        </w:rPr>
        <w:br/>
        <w:t xml:space="preserve">added note re Note in table </w:t>
      </w:r>
    </w:p>
    <w:p w14:paraId="73BC9238" w14:textId="77777777" w:rsidR="00477D8C" w:rsidRDefault="00477D8C" w:rsidP="00BD47A6">
      <w:pPr>
        <w:pStyle w:val="ListParagraph"/>
        <w:numPr>
          <w:ilvl w:val="0"/>
          <w:numId w:val="5"/>
        </w:numPr>
        <w:rPr>
          <w:lang w:eastAsia="zh-CN"/>
        </w:rPr>
      </w:pPr>
    </w:p>
    <w:p w14:paraId="15E8C5D4" w14:textId="77777777" w:rsidR="00BD47A6" w:rsidRPr="00BD47A6" w:rsidRDefault="00BD47A6" w:rsidP="00BD47A6">
      <w:pPr>
        <w:pStyle w:val="ListParagraph"/>
        <w:rPr>
          <w:lang w:eastAsia="zh-CN"/>
        </w:rPr>
      </w:pPr>
    </w:p>
    <w:sectPr w:rsidR="00BD47A6" w:rsidRPr="00BD47A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D25DB" w14:textId="77777777" w:rsidR="00FD5C63" w:rsidRDefault="00FD5C63" w:rsidP="00BD47A6">
      <w:pPr>
        <w:spacing w:after="0" w:line="240" w:lineRule="auto"/>
      </w:pPr>
      <w:r>
        <w:separator/>
      </w:r>
    </w:p>
  </w:endnote>
  <w:endnote w:type="continuationSeparator" w:id="0">
    <w:p w14:paraId="3C8A788F" w14:textId="77777777" w:rsidR="00FD5C63" w:rsidRDefault="00FD5C63" w:rsidP="00BD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E9AC" w14:textId="13C7238D" w:rsidR="00BD47A6" w:rsidRPr="00BD47A6" w:rsidRDefault="00BD47A6" w:rsidP="00BD47A6">
    <w:pPr>
      <w:pStyle w:val="Footer"/>
      <w:jc w:val="right"/>
      <w:rPr>
        <w:sz w:val="18"/>
        <w:szCs w:val="18"/>
      </w:rPr>
    </w:pPr>
    <w:r w:rsidRPr="00BD47A6">
      <w:rPr>
        <w:color w:val="7F7F7F" w:themeColor="background1" w:themeShade="7F"/>
        <w:spacing w:val="60"/>
        <w:sz w:val="18"/>
        <w:szCs w:val="18"/>
      </w:rPr>
      <w:t>Page</w:t>
    </w:r>
    <w:r w:rsidRPr="00BD47A6">
      <w:rPr>
        <w:sz w:val="18"/>
        <w:szCs w:val="18"/>
      </w:rPr>
      <w:t xml:space="preserve"> | </w:t>
    </w:r>
    <w:r w:rsidRPr="00BD47A6">
      <w:rPr>
        <w:sz w:val="18"/>
        <w:szCs w:val="18"/>
      </w:rPr>
      <w:fldChar w:fldCharType="begin"/>
    </w:r>
    <w:r w:rsidRPr="00BD47A6">
      <w:rPr>
        <w:sz w:val="18"/>
        <w:szCs w:val="18"/>
      </w:rPr>
      <w:instrText xml:space="preserve"> PAGE   \* MERGEFORMAT </w:instrText>
    </w:r>
    <w:r w:rsidRPr="00BD47A6">
      <w:rPr>
        <w:sz w:val="18"/>
        <w:szCs w:val="18"/>
      </w:rPr>
      <w:fldChar w:fldCharType="separate"/>
    </w:r>
    <w:r w:rsidRPr="00BD47A6">
      <w:rPr>
        <w:b/>
        <w:bCs/>
        <w:noProof/>
        <w:sz w:val="18"/>
        <w:szCs w:val="18"/>
      </w:rPr>
      <w:t>1</w:t>
    </w:r>
    <w:r w:rsidRPr="00BD47A6">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599B" w14:textId="77777777" w:rsidR="00FD5C63" w:rsidRDefault="00FD5C63" w:rsidP="00BD47A6">
      <w:pPr>
        <w:spacing w:after="0" w:line="240" w:lineRule="auto"/>
      </w:pPr>
      <w:r>
        <w:separator/>
      </w:r>
    </w:p>
  </w:footnote>
  <w:footnote w:type="continuationSeparator" w:id="0">
    <w:p w14:paraId="63309F1B" w14:textId="77777777" w:rsidR="00FD5C63" w:rsidRDefault="00FD5C63" w:rsidP="00BD4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24B4E"/>
    <w:multiLevelType w:val="hybridMultilevel"/>
    <w:tmpl w:val="4A9E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BD0E3E"/>
    <w:multiLevelType w:val="hybridMultilevel"/>
    <w:tmpl w:val="AECC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81E36"/>
    <w:multiLevelType w:val="hybridMultilevel"/>
    <w:tmpl w:val="5E08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B2586"/>
    <w:multiLevelType w:val="hybridMultilevel"/>
    <w:tmpl w:val="8FC0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8B35D9"/>
    <w:multiLevelType w:val="hybridMultilevel"/>
    <w:tmpl w:val="2BE45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038982">
    <w:abstractNumId w:val="1"/>
  </w:num>
  <w:num w:numId="2" w16cid:durableId="387651005">
    <w:abstractNumId w:val="2"/>
  </w:num>
  <w:num w:numId="3" w16cid:durableId="1449739513">
    <w:abstractNumId w:val="3"/>
  </w:num>
  <w:num w:numId="4" w16cid:durableId="2043432472">
    <w:abstractNumId w:val="4"/>
  </w:num>
  <w:num w:numId="5" w16cid:durableId="1444300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A66"/>
    <w:rsid w:val="000351C0"/>
    <w:rsid w:val="00057CA2"/>
    <w:rsid w:val="00062472"/>
    <w:rsid w:val="000653D8"/>
    <w:rsid w:val="00067910"/>
    <w:rsid w:val="0007079B"/>
    <w:rsid w:val="000726C6"/>
    <w:rsid w:val="000A0C2B"/>
    <w:rsid w:val="000A3E9D"/>
    <w:rsid w:val="000B6485"/>
    <w:rsid w:val="000C5011"/>
    <w:rsid w:val="000D2679"/>
    <w:rsid w:val="00111F99"/>
    <w:rsid w:val="00117A34"/>
    <w:rsid w:val="00120E68"/>
    <w:rsid w:val="00133BE5"/>
    <w:rsid w:val="001E49C6"/>
    <w:rsid w:val="00201C52"/>
    <w:rsid w:val="0025645D"/>
    <w:rsid w:val="002A78E1"/>
    <w:rsid w:val="002E0F7A"/>
    <w:rsid w:val="003371DA"/>
    <w:rsid w:val="003B3E2B"/>
    <w:rsid w:val="003B7801"/>
    <w:rsid w:val="003C2283"/>
    <w:rsid w:val="00401F38"/>
    <w:rsid w:val="00466311"/>
    <w:rsid w:val="00477D8C"/>
    <w:rsid w:val="004A4FE6"/>
    <w:rsid w:val="004D596A"/>
    <w:rsid w:val="00535C54"/>
    <w:rsid w:val="005515B4"/>
    <w:rsid w:val="005626B9"/>
    <w:rsid w:val="005A4305"/>
    <w:rsid w:val="005F5A66"/>
    <w:rsid w:val="0063696A"/>
    <w:rsid w:val="00642FD4"/>
    <w:rsid w:val="006458F1"/>
    <w:rsid w:val="006700AA"/>
    <w:rsid w:val="00676B7E"/>
    <w:rsid w:val="00687FD4"/>
    <w:rsid w:val="006E47E4"/>
    <w:rsid w:val="006F55D4"/>
    <w:rsid w:val="006F7D5D"/>
    <w:rsid w:val="007158C5"/>
    <w:rsid w:val="00715FD6"/>
    <w:rsid w:val="007169B8"/>
    <w:rsid w:val="00753D67"/>
    <w:rsid w:val="0077234E"/>
    <w:rsid w:val="007861E5"/>
    <w:rsid w:val="007D6CD6"/>
    <w:rsid w:val="00804233"/>
    <w:rsid w:val="00804F42"/>
    <w:rsid w:val="0081118B"/>
    <w:rsid w:val="00814DD8"/>
    <w:rsid w:val="008B1266"/>
    <w:rsid w:val="008B67CF"/>
    <w:rsid w:val="00913FD3"/>
    <w:rsid w:val="0099179E"/>
    <w:rsid w:val="009C56BB"/>
    <w:rsid w:val="009F47B0"/>
    <w:rsid w:val="00A53321"/>
    <w:rsid w:val="00A63A19"/>
    <w:rsid w:val="00A77230"/>
    <w:rsid w:val="00A934CD"/>
    <w:rsid w:val="00B1338D"/>
    <w:rsid w:val="00B24B70"/>
    <w:rsid w:val="00B53C9D"/>
    <w:rsid w:val="00B667B7"/>
    <w:rsid w:val="00BB0411"/>
    <w:rsid w:val="00BB4176"/>
    <w:rsid w:val="00BC4BBE"/>
    <w:rsid w:val="00BD47A6"/>
    <w:rsid w:val="00C44B12"/>
    <w:rsid w:val="00CB76A1"/>
    <w:rsid w:val="00CE4606"/>
    <w:rsid w:val="00D06608"/>
    <w:rsid w:val="00DA5370"/>
    <w:rsid w:val="00DA5FC9"/>
    <w:rsid w:val="00DC2451"/>
    <w:rsid w:val="00DC6A70"/>
    <w:rsid w:val="00E03D4B"/>
    <w:rsid w:val="00E67E6D"/>
    <w:rsid w:val="00E8447B"/>
    <w:rsid w:val="00E919C4"/>
    <w:rsid w:val="00E92347"/>
    <w:rsid w:val="00E971FE"/>
    <w:rsid w:val="00EA4734"/>
    <w:rsid w:val="00EA5114"/>
    <w:rsid w:val="00EA601B"/>
    <w:rsid w:val="00ED5D45"/>
    <w:rsid w:val="00EE37CD"/>
    <w:rsid w:val="00F001CB"/>
    <w:rsid w:val="00F04BC9"/>
    <w:rsid w:val="00F11090"/>
    <w:rsid w:val="00F13641"/>
    <w:rsid w:val="00F16C98"/>
    <w:rsid w:val="00F43919"/>
    <w:rsid w:val="00F44A66"/>
    <w:rsid w:val="00F55AE3"/>
    <w:rsid w:val="00F606FB"/>
    <w:rsid w:val="00F67887"/>
    <w:rsid w:val="00F86CFC"/>
    <w:rsid w:val="00FA301F"/>
    <w:rsid w:val="00FB25EF"/>
    <w:rsid w:val="00FD5C63"/>
    <w:rsid w:val="00FE0611"/>
    <w:rsid w:val="00FF0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5208"/>
  <w15:chartTrackingRefBased/>
  <w15:docId w15:val="{FFF2FFE0-EEC0-48DA-9B01-E4A8EF2E1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B70"/>
    <w:pPr>
      <w:spacing w:after="200" w:line="276" w:lineRule="auto"/>
    </w:pPr>
  </w:style>
  <w:style w:type="paragraph" w:styleId="Heading1">
    <w:name w:val="heading 1"/>
    <w:basedOn w:val="Normal"/>
    <w:next w:val="Normal"/>
    <w:link w:val="Heading1Char"/>
    <w:uiPriority w:val="9"/>
    <w:qFormat/>
    <w:rsid w:val="00B24B70"/>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24B70"/>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24B70"/>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24B70"/>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24B70"/>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24B70"/>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24B70"/>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24B70"/>
    <w:pPr>
      <w:spacing w:after="240" w:line="240" w:lineRule="auto"/>
      <w:ind w:left="720"/>
    </w:pPr>
    <w:rPr>
      <w:rFonts w:ascii="Arial" w:eastAsia="Calibri" w:hAnsi="Arial" w:cs="Times New Roman"/>
    </w:rPr>
  </w:style>
  <w:style w:type="paragraph" w:customStyle="1" w:styleId="footerodd">
    <w:name w:val="footer_odd"/>
    <w:basedOn w:val="Footer"/>
    <w:qFormat/>
    <w:rsid w:val="00B24B70"/>
    <w:pPr>
      <w:pBdr>
        <w:top w:val="single" w:sz="2" w:space="1" w:color="1F497D"/>
      </w:pBdr>
      <w:tabs>
        <w:tab w:val="clear" w:pos="4680"/>
      </w:tabs>
    </w:pPr>
    <w:rPr>
      <w:color w:val="7F7F7F"/>
      <w:sz w:val="18"/>
      <w:szCs w:val="18"/>
    </w:rPr>
  </w:style>
  <w:style w:type="paragraph" w:styleId="Footer">
    <w:name w:val="footer"/>
    <w:basedOn w:val="Normal"/>
    <w:link w:val="FooterChar"/>
    <w:uiPriority w:val="99"/>
    <w:unhideWhenUsed/>
    <w:rsid w:val="00B24B70"/>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24B70"/>
    <w:rPr>
      <w:rFonts w:ascii="Arial" w:eastAsia="Calibri" w:hAnsi="Arial" w:cs="Times New Roman"/>
    </w:rPr>
  </w:style>
  <w:style w:type="paragraph" w:customStyle="1" w:styleId="footereven">
    <w:name w:val="footer_even"/>
    <w:basedOn w:val="footerodd"/>
    <w:qFormat/>
    <w:rsid w:val="00B24B70"/>
    <w:rPr>
      <w:spacing w:val="60"/>
    </w:rPr>
  </w:style>
  <w:style w:type="paragraph" w:customStyle="1" w:styleId="hdg">
    <w:name w:val="hdg"/>
    <w:basedOn w:val="Normal"/>
    <w:qFormat/>
    <w:rsid w:val="00B24B70"/>
    <w:pPr>
      <w:spacing w:after="120" w:line="240" w:lineRule="auto"/>
    </w:pPr>
    <w:rPr>
      <w:rFonts w:ascii="Calibri" w:eastAsia="Times New Roman" w:hAnsi="Calibri" w:cs="Times New Roman"/>
      <w:b/>
      <w:color w:val="006C31"/>
      <w:sz w:val="24"/>
      <w:szCs w:val="24"/>
    </w:rPr>
  </w:style>
  <w:style w:type="paragraph" w:customStyle="1" w:styleId="Heading2Like">
    <w:name w:val="Heading2Like"/>
    <w:basedOn w:val="Heading2"/>
    <w:next w:val="Normal"/>
    <w:qFormat/>
    <w:rsid w:val="00B24B70"/>
    <w:pPr>
      <w:spacing w:after="480"/>
    </w:pPr>
  </w:style>
  <w:style w:type="character" w:customStyle="1" w:styleId="Heading2Char">
    <w:name w:val="Heading 2 Char"/>
    <w:basedOn w:val="DefaultParagraphFont"/>
    <w:link w:val="Heading2"/>
    <w:rsid w:val="00B24B70"/>
    <w:rPr>
      <w:rFonts w:ascii="Calibri" w:eastAsia="Times New Roman" w:hAnsi="Calibri" w:cs="Arial"/>
      <w:bCs/>
      <w:iCs/>
      <w:color w:val="0F243E"/>
      <w:spacing w:val="24"/>
      <w:sz w:val="48"/>
      <w:szCs w:val="28"/>
    </w:rPr>
  </w:style>
  <w:style w:type="paragraph" w:customStyle="1" w:styleId="Heading2like0">
    <w:name w:val="Heading2like"/>
    <w:basedOn w:val="Heading2"/>
    <w:next w:val="Normal"/>
    <w:qFormat/>
    <w:rsid w:val="00B24B70"/>
  </w:style>
  <w:style w:type="paragraph" w:customStyle="1" w:styleId="Heading3Like">
    <w:name w:val="Heading3Like"/>
    <w:basedOn w:val="Heading3"/>
    <w:next w:val="Normal"/>
    <w:qFormat/>
    <w:rsid w:val="00B24B70"/>
  </w:style>
  <w:style w:type="character" w:customStyle="1" w:styleId="Heading3Char">
    <w:name w:val="Heading 3 Char"/>
    <w:basedOn w:val="DefaultParagraphFont"/>
    <w:link w:val="Heading3"/>
    <w:uiPriority w:val="9"/>
    <w:rsid w:val="00B24B70"/>
    <w:rPr>
      <w:rFonts w:ascii="Calibri" w:eastAsia="Times New Roman" w:hAnsi="Calibri" w:cs="Times New Roman"/>
      <w:bCs/>
      <w:color w:val="0F243E"/>
      <w:sz w:val="36"/>
    </w:rPr>
  </w:style>
  <w:style w:type="paragraph" w:customStyle="1" w:styleId="Heading4Like">
    <w:name w:val="Heading4Like"/>
    <w:basedOn w:val="Heading4"/>
    <w:next w:val="Normal"/>
    <w:link w:val="Heading4LikeChar"/>
    <w:qFormat/>
    <w:rsid w:val="00B24B70"/>
  </w:style>
  <w:style w:type="character" w:customStyle="1" w:styleId="Heading4LikeChar">
    <w:name w:val="Heading4Like Char"/>
    <w:basedOn w:val="Heading4Char"/>
    <w:link w:val="Heading4Like"/>
    <w:rsid w:val="00B24B70"/>
    <w:rPr>
      <w:rFonts w:ascii="Calibri" w:eastAsia="Times New Roman" w:hAnsi="Calibri" w:cs="Times New Roman"/>
      <w:b/>
      <w:bCs/>
      <w:sz w:val="28"/>
      <w:szCs w:val="28"/>
      <w:lang w:eastAsia="zh-CN"/>
    </w:rPr>
  </w:style>
  <w:style w:type="character" w:customStyle="1" w:styleId="Heading4Char">
    <w:name w:val="Heading 4 Char"/>
    <w:basedOn w:val="DefaultParagraphFont"/>
    <w:link w:val="Heading4"/>
    <w:uiPriority w:val="9"/>
    <w:rsid w:val="00B24B70"/>
    <w:rPr>
      <w:rFonts w:ascii="Calibri" w:eastAsia="Times New Roman" w:hAnsi="Calibri" w:cs="Times New Roman"/>
      <w:b/>
      <w:bCs/>
      <w:sz w:val="28"/>
      <w:szCs w:val="28"/>
      <w:lang w:eastAsia="zh-CN"/>
    </w:rPr>
  </w:style>
  <w:style w:type="paragraph" w:customStyle="1" w:styleId="Heading5Like">
    <w:name w:val="Heading5Like"/>
    <w:basedOn w:val="Heading5"/>
    <w:qFormat/>
    <w:rsid w:val="00B24B70"/>
  </w:style>
  <w:style w:type="character" w:customStyle="1" w:styleId="Heading5Char">
    <w:name w:val="Heading 5 Char"/>
    <w:basedOn w:val="DefaultParagraphFont"/>
    <w:link w:val="Heading5"/>
    <w:uiPriority w:val="9"/>
    <w:rsid w:val="00B24B70"/>
    <w:rPr>
      <w:rFonts w:ascii="Calibri" w:eastAsia="Times New Roman" w:hAnsi="Calibri" w:cs="Times New Roman"/>
      <w:b/>
      <w:color w:val="006633"/>
      <w:sz w:val="24"/>
      <w:szCs w:val="24"/>
      <w:lang w:eastAsia="zh-CN"/>
    </w:rPr>
  </w:style>
  <w:style w:type="paragraph" w:customStyle="1" w:styleId="NormalInTble">
    <w:name w:val="NormalInTble"/>
    <w:basedOn w:val="Normal"/>
    <w:rsid w:val="00B24B70"/>
    <w:pPr>
      <w:spacing w:before="60" w:after="60" w:line="240" w:lineRule="auto"/>
    </w:pPr>
    <w:rPr>
      <w:rFonts w:ascii="Calibri" w:eastAsia="Times New Roman" w:hAnsi="Calibri" w:cs="Times New Roman"/>
      <w:szCs w:val="24"/>
    </w:rPr>
  </w:style>
  <w:style w:type="character" w:customStyle="1" w:styleId="Heading1Char">
    <w:name w:val="Heading 1 Char"/>
    <w:basedOn w:val="DefaultParagraphFont"/>
    <w:link w:val="Heading1"/>
    <w:uiPriority w:val="9"/>
    <w:rsid w:val="00B24B70"/>
    <w:rPr>
      <w:rFonts w:ascii="Arial Bold" w:eastAsia="Times New Roman" w:hAnsi="Arial Bold" w:cs="Times New Roman"/>
      <w:b/>
      <w:bCs/>
      <w:smallCaps/>
      <w:color w:val="365F91"/>
      <w:sz w:val="36"/>
      <w:szCs w:val="28"/>
    </w:rPr>
  </w:style>
  <w:style w:type="character" w:customStyle="1" w:styleId="Heading6Char">
    <w:name w:val="Heading 6 Char"/>
    <w:basedOn w:val="DefaultParagraphFont"/>
    <w:link w:val="Heading6"/>
    <w:uiPriority w:val="99"/>
    <w:rsid w:val="00B24B70"/>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24B70"/>
    <w:rPr>
      <w:rFonts w:ascii="Calibri" w:eastAsia="Times New Roman" w:hAnsi="Calibri" w:cs="Times New Roman"/>
      <w:b/>
      <w:iCs/>
      <w:color w:val="404040"/>
      <w:lang w:eastAsia="zh-CN"/>
    </w:rPr>
  </w:style>
  <w:style w:type="paragraph" w:styleId="TOC1">
    <w:name w:val="toc 1"/>
    <w:basedOn w:val="Normal"/>
    <w:next w:val="Normal"/>
    <w:autoRedefine/>
    <w:uiPriority w:val="39"/>
    <w:unhideWhenUsed/>
    <w:rsid w:val="00B24B70"/>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24B70"/>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24B70"/>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24B70"/>
    <w:pPr>
      <w:spacing w:after="100"/>
      <w:ind w:left="660"/>
    </w:pPr>
    <w:rPr>
      <w:rFonts w:ascii="Calibri" w:eastAsia="Times New Roman" w:hAnsi="Calibri" w:cs="Times New Roman"/>
    </w:rPr>
  </w:style>
  <w:style w:type="paragraph" w:styleId="Header">
    <w:name w:val="header"/>
    <w:basedOn w:val="Normal"/>
    <w:link w:val="HeaderChar"/>
    <w:uiPriority w:val="99"/>
    <w:unhideWhenUsed/>
    <w:rsid w:val="00B24B70"/>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24B70"/>
    <w:rPr>
      <w:rFonts w:ascii="Calibri" w:eastAsia="Calibri" w:hAnsi="Calibri" w:cs="Times New Roman"/>
      <w:sz w:val="20"/>
    </w:rPr>
  </w:style>
  <w:style w:type="character" w:styleId="Hyperlink">
    <w:name w:val="Hyperlink"/>
    <w:basedOn w:val="DefaultParagraphFont"/>
    <w:uiPriority w:val="99"/>
    <w:unhideWhenUsed/>
    <w:rsid w:val="00B24B70"/>
    <w:rPr>
      <w:color w:val="0563C1" w:themeColor="hyperlink"/>
      <w:u w:val="single"/>
    </w:rPr>
  </w:style>
  <w:style w:type="character" w:styleId="FollowedHyperlink">
    <w:name w:val="FollowedHyperlink"/>
    <w:basedOn w:val="DefaultParagraphFont"/>
    <w:uiPriority w:val="99"/>
    <w:semiHidden/>
    <w:unhideWhenUsed/>
    <w:rsid w:val="00B24B70"/>
    <w:rPr>
      <w:color w:val="954F72" w:themeColor="followedHyperlink"/>
      <w:u w:val="single"/>
    </w:rPr>
  </w:style>
  <w:style w:type="paragraph" w:styleId="DocumentMap">
    <w:name w:val="Document Map"/>
    <w:basedOn w:val="Normal"/>
    <w:link w:val="DocumentMapChar"/>
    <w:uiPriority w:val="99"/>
    <w:semiHidden/>
    <w:unhideWhenUsed/>
    <w:rsid w:val="00B24B7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4B70"/>
    <w:rPr>
      <w:rFonts w:ascii="Tahoma" w:hAnsi="Tahoma" w:cs="Tahoma"/>
      <w:sz w:val="16"/>
      <w:szCs w:val="16"/>
    </w:rPr>
  </w:style>
  <w:style w:type="paragraph" w:styleId="BalloonText">
    <w:name w:val="Balloon Text"/>
    <w:basedOn w:val="Normal"/>
    <w:link w:val="BalloonTextChar"/>
    <w:uiPriority w:val="99"/>
    <w:semiHidden/>
    <w:unhideWhenUsed/>
    <w:rsid w:val="00B24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70"/>
    <w:rPr>
      <w:rFonts w:ascii="Tahoma" w:hAnsi="Tahoma" w:cs="Tahoma"/>
      <w:sz w:val="16"/>
      <w:szCs w:val="16"/>
    </w:rPr>
  </w:style>
  <w:style w:type="table" w:styleId="TableGrid">
    <w:name w:val="Table Grid"/>
    <w:basedOn w:val="TableNormal"/>
    <w:uiPriority w:val="59"/>
    <w:rsid w:val="00B24B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24B70"/>
    <w:pPr>
      <w:ind w:left="720"/>
      <w:contextualSpacing/>
    </w:pPr>
  </w:style>
  <w:style w:type="character" w:styleId="UnresolvedMention">
    <w:name w:val="Unresolved Mention"/>
    <w:basedOn w:val="DefaultParagraphFont"/>
    <w:uiPriority w:val="99"/>
    <w:semiHidden/>
    <w:unhideWhenUsed/>
    <w:rsid w:val="00B24B70"/>
    <w:rPr>
      <w:color w:val="605E5C"/>
      <w:shd w:val="clear" w:color="auto" w:fill="E1DFDD"/>
    </w:rPr>
  </w:style>
  <w:style w:type="paragraph" w:styleId="Revision">
    <w:name w:val="Revision"/>
    <w:hidden/>
    <w:uiPriority w:val="99"/>
    <w:semiHidden/>
    <w:rsid w:val="000D26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in-global.org/docs/gg_inventory.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edback@ars-grin.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marty.reisinger@usda.gov"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982</Words>
  <Characters>5285</Characters>
  <Application>Microsoft Office Word</Application>
  <DocSecurity>0</DocSecurity>
  <Lines>160</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Reisinger, Marty</dc:creator>
  <cp:keywords/>
  <dc:description/>
  <cp:lastModifiedBy>Reisinger, Marty</cp:lastModifiedBy>
  <cp:revision>2</cp:revision>
  <dcterms:created xsi:type="dcterms:W3CDTF">2022-07-14T19:24:00Z</dcterms:created>
  <dcterms:modified xsi:type="dcterms:W3CDTF">2022-07-14T19:24:00Z</dcterms:modified>
</cp:coreProperties>
</file>