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FD9A1" w14:textId="63B6DB46" w:rsidR="00BA0E99" w:rsidRDefault="007235DA" w:rsidP="00210564">
      <w:pPr>
        <w:pStyle w:val="Heading2"/>
      </w:pPr>
      <w:r>
        <w:t xml:space="preserve">Code Groups &amp; </w:t>
      </w:r>
      <w:r w:rsidR="00210564">
        <w:t>Codes in GRIN-Global</w:t>
      </w:r>
    </w:p>
    <w:p w14:paraId="723E53D5" w14:textId="77777777" w:rsidR="00282775" w:rsidRDefault="00282775" w:rsidP="00282775">
      <w:pPr>
        <w:rPr>
          <w:rFonts w:eastAsia="Times New Roman"/>
          <w:b/>
          <w:bCs/>
          <w:color w:val="071320" w:themeColor="text2" w:themeShade="80"/>
          <w:sz w:val="36"/>
        </w:rPr>
      </w:pPr>
      <w:r w:rsidRPr="00FC2815">
        <w:rPr>
          <w:rFonts w:eastAsia="Times New Roman"/>
          <w:b/>
          <w:bCs/>
          <w:noProof/>
          <w:color w:val="071320" w:themeColor="text2" w:themeShade="80"/>
          <w:sz w:val="36"/>
        </w:rPr>
        <w:drawing>
          <wp:inline distT="0" distB="0" distL="0" distR="0" wp14:anchorId="32FD055A" wp14:editId="2FC30A50">
            <wp:extent cx="1047750" cy="1047750"/>
            <wp:effectExtent l="0" t="0" r="0" b="0"/>
            <wp:docPr id="2" name="Picture 19" descr="binder-2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nder-2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6CC034" w14:textId="77777777" w:rsidR="00282775" w:rsidRPr="00FC2815" w:rsidRDefault="00282775" w:rsidP="00282775">
      <w:pPr>
        <w:rPr>
          <w:rFonts w:eastAsia="Times New Roman"/>
          <w:b/>
          <w:bCs/>
          <w:color w:val="071320" w:themeColor="text2" w:themeShade="80"/>
          <w:sz w:val="36"/>
        </w:rPr>
      </w:pPr>
    </w:p>
    <w:p w14:paraId="5C22F8F4" w14:textId="77777777" w:rsidR="00282775" w:rsidRPr="00FC2815" w:rsidRDefault="00282775" w:rsidP="00282775">
      <w:pPr>
        <w:pStyle w:val="Heading5Like"/>
      </w:pPr>
      <w:r w:rsidRPr="00FC2815">
        <w:t>Revision Date</w:t>
      </w:r>
    </w:p>
    <w:p w14:paraId="44B59C1B" w14:textId="16ED30B6" w:rsidR="00282775" w:rsidRDefault="00282775" w:rsidP="00282775">
      <w:r>
        <w:rPr>
          <w:noProof/>
        </w:rPr>
        <w:t>Ocotber 10</w:t>
      </w:r>
      <w:r>
        <w:rPr>
          <w:noProof/>
        </w:rPr>
        <w:t>, 2024</w:t>
      </w:r>
    </w:p>
    <w:p w14:paraId="06328E21" w14:textId="0C8FD6D8" w:rsidR="00282775" w:rsidRDefault="00282775" w:rsidP="00282775">
      <w:pPr>
        <w:pStyle w:val="Heading5Like"/>
      </w:pPr>
      <w:r>
        <w:t>Author</w:t>
      </w:r>
    </w:p>
    <w:p w14:paraId="63370642" w14:textId="0E63C527" w:rsidR="00282775" w:rsidRDefault="00282775" w:rsidP="00282775">
      <w:r>
        <w:t>Martin Reisinger</w:t>
      </w:r>
    </w:p>
    <w:p w14:paraId="4D0F7D53" w14:textId="77777777" w:rsidR="00210564" w:rsidRPr="00210564" w:rsidRDefault="00210564" w:rsidP="00210564"/>
    <w:p w14:paraId="1B4CBCE7" w14:textId="3C49AF7B" w:rsidR="00210564" w:rsidRPr="00210564" w:rsidRDefault="00210564">
      <w:pPr>
        <w:rPr>
          <w:b/>
          <w:bCs/>
        </w:rPr>
      </w:pPr>
      <w:r w:rsidRPr="00210564">
        <w:rPr>
          <w:b/>
          <w:bCs/>
        </w:rPr>
        <w:t>Question:</w:t>
      </w:r>
    </w:p>
    <w:p w14:paraId="6738957B" w14:textId="3236EEB8" w:rsidR="00210564" w:rsidRDefault="00210564">
      <w:r>
        <w:rPr>
          <w:lang w:val="en-GB"/>
        </w:rPr>
        <w:t xml:space="preserve">In the </w:t>
      </w:r>
      <w:r w:rsidRPr="00282775">
        <w:rPr>
          <w:b/>
          <w:bCs/>
          <w:lang w:val="en-GB"/>
        </w:rPr>
        <w:t>Accession</w:t>
      </w:r>
      <w:r>
        <w:rPr>
          <w:lang w:val="en-GB"/>
        </w:rPr>
        <w:t xml:space="preserve"> dataview, what do all those abbreviations mean in the </w:t>
      </w:r>
      <w:r w:rsidRPr="00210564">
        <w:rPr>
          <w:b/>
          <w:bCs/>
          <w:lang w:val="en-GB"/>
        </w:rPr>
        <w:t>Received As</w:t>
      </w:r>
      <w:r w:rsidRPr="00210564">
        <w:rPr>
          <w:lang w:val="en-GB"/>
        </w:rPr>
        <w:t xml:space="preserve"> field</w:t>
      </w:r>
      <w:r>
        <w:rPr>
          <w:lang w:val="en-GB"/>
        </w:rPr>
        <w:t>?</w:t>
      </w:r>
      <w:r w:rsidR="00282775">
        <w:rPr>
          <w:lang w:val="en-GB"/>
        </w:rPr>
        <w:br/>
      </w:r>
      <w:r w:rsidR="00282775">
        <w:rPr>
          <w:noProof/>
        </w:rPr>
        <w:drawing>
          <wp:inline distT="0" distB="0" distL="0" distR="0" wp14:anchorId="14A82A6E" wp14:editId="0BA57561">
            <wp:extent cx="5943600" cy="1999615"/>
            <wp:effectExtent l="19050" t="19050" r="19050" b="19685"/>
            <wp:docPr id="8392302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3023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9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2ACDF3" w14:textId="4FCC2B12" w:rsidR="00210564" w:rsidRPr="00210564" w:rsidRDefault="00210564" w:rsidP="00210564">
      <w:pPr>
        <w:rPr>
          <w:b/>
          <w:bCs/>
        </w:rPr>
      </w:pPr>
      <w:r w:rsidRPr="00210564">
        <w:rPr>
          <w:b/>
          <w:bCs/>
        </w:rPr>
        <w:t>Short answer</w:t>
      </w:r>
      <w:r w:rsidRPr="00210564">
        <w:t xml:space="preserve">: These are </w:t>
      </w:r>
      <w:r w:rsidRPr="00210564">
        <w:rPr>
          <w:i/>
          <w:iCs/>
        </w:rPr>
        <w:t>Germplasm forms</w:t>
      </w:r>
      <w:r w:rsidRPr="00210564">
        <w:t xml:space="preserve"> (and are abbreviated – USDA curators and technicians have used these abbreviations for 40 years), but any genebank using GG can modify these. In GG, these and </w:t>
      </w:r>
      <w:r w:rsidR="00B32AD0" w:rsidRPr="00B32AD0">
        <w:t xml:space="preserve">any codes in the Curator Tool (CT) dropdowns </w:t>
      </w:r>
      <w:r w:rsidRPr="00210564">
        <w:t>can be changed to meet the organization’s specific needs.</w:t>
      </w:r>
      <w:r w:rsidRPr="00210564">
        <w:br/>
      </w:r>
      <w:r w:rsidRPr="00210564">
        <w:br/>
      </w:r>
      <w:r w:rsidRPr="00210564">
        <w:rPr>
          <w:b/>
          <w:bCs/>
        </w:rPr>
        <w:t>Long answer:</w:t>
      </w:r>
    </w:p>
    <w:p w14:paraId="292BEAE6" w14:textId="77777777" w:rsidR="00210564" w:rsidRPr="00210564" w:rsidRDefault="00210564" w:rsidP="00210564">
      <w:r w:rsidRPr="00210564">
        <w:t>Several generalities first…</w:t>
      </w:r>
    </w:p>
    <w:p w14:paraId="14DF4AB4" w14:textId="677494EE" w:rsidR="00210564" w:rsidRPr="00210564" w:rsidRDefault="00210564" w:rsidP="00210564">
      <w:pPr>
        <w:numPr>
          <w:ilvl w:val="0"/>
          <w:numId w:val="5"/>
        </w:numPr>
      </w:pPr>
      <w:r w:rsidRPr="00210564">
        <w:lastRenderedPageBreak/>
        <w:t>All CT dropdowns get their options from a Code Group:</w:t>
      </w:r>
      <w:r w:rsidRPr="00210564">
        <w:br/>
      </w:r>
      <w:r w:rsidRPr="00210564">
        <w:drawing>
          <wp:inline distT="0" distB="0" distL="0" distR="0" wp14:anchorId="655CE3AA" wp14:editId="7D864291">
            <wp:extent cx="5389275" cy="1778000"/>
            <wp:effectExtent l="57150" t="57150" r="97155" b="88900"/>
            <wp:docPr id="127892576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25766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54" cy="1783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210564">
        <w:br/>
      </w:r>
      <w:r w:rsidRPr="00210564">
        <w:br/>
      </w:r>
    </w:p>
    <w:p w14:paraId="5541AA5D" w14:textId="501927D3" w:rsidR="00210564" w:rsidRDefault="00210564" w:rsidP="00210564">
      <w:pPr>
        <w:numPr>
          <w:ilvl w:val="0"/>
          <w:numId w:val="5"/>
        </w:numPr>
      </w:pPr>
      <w:r w:rsidRPr="00210564">
        <w:t xml:space="preserve">See the video:  </w:t>
      </w:r>
      <w:hyperlink r:id="rId10" w:history="1">
        <w:r w:rsidRPr="00210564">
          <w:rPr>
            <w:rStyle w:val="Hyperlink"/>
          </w:rPr>
          <w:t>https://www.grin-global.org/videos/codes.mp4</w:t>
        </w:r>
      </w:hyperlink>
      <w:r w:rsidRPr="00210564">
        <w:br/>
      </w:r>
      <w:r w:rsidRPr="00210564">
        <w:drawing>
          <wp:inline distT="0" distB="0" distL="0" distR="0" wp14:anchorId="3796DB3B" wp14:editId="44F70A82">
            <wp:extent cx="5067300" cy="2631639"/>
            <wp:effectExtent l="0" t="0" r="0" b="0"/>
            <wp:docPr id="33703044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3044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32" cy="263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F5B2" w14:textId="485B5962" w:rsidR="0015062F" w:rsidRPr="00210564" w:rsidRDefault="0015062F" w:rsidP="00210564">
      <w:pPr>
        <w:numPr>
          <w:ilvl w:val="0"/>
          <w:numId w:val="5"/>
        </w:numPr>
      </w:pPr>
      <w:r>
        <w:t xml:space="preserve">Administrators - </w:t>
      </w:r>
      <w:r w:rsidRPr="00210564">
        <w:t xml:space="preserve">See also: pp. 6-7 in </w:t>
      </w:r>
      <w:hyperlink r:id="rId12" w:history="1">
        <w:r w:rsidRPr="00210564">
          <w:rPr>
            <w:rStyle w:val="Hyperlink"/>
          </w:rPr>
          <w:t>https://www.grin-global.org/docs/gg_recommended_procedures.docx</w:t>
        </w:r>
      </w:hyperlink>
      <w:r w:rsidRPr="00210564">
        <w:t xml:space="preserve">  Note that the Admin Tool’s Import Wizard is mentioned, but I do not recommend using the Import Wizard.  Use the AT’s Code Group editor or the CT to manage your codes.</w:t>
      </w:r>
    </w:p>
    <w:p w14:paraId="2F7E2DBC" w14:textId="77777777" w:rsidR="0015062F" w:rsidRDefault="0015062F">
      <w:r>
        <w:br w:type="page"/>
      </w:r>
    </w:p>
    <w:p w14:paraId="53319CDB" w14:textId="7380CE7B" w:rsidR="00210564" w:rsidRPr="00210564" w:rsidRDefault="0015062F" w:rsidP="00210564">
      <w:pPr>
        <w:numPr>
          <w:ilvl w:val="0"/>
          <w:numId w:val="5"/>
        </w:numPr>
      </w:pPr>
      <w:r>
        <w:lastRenderedPageBreak/>
        <w:t>For m</w:t>
      </w:r>
      <w:r w:rsidR="00210564" w:rsidRPr="00210564">
        <w:t>ost CT headings – when you roll</w:t>
      </w:r>
      <w:r w:rsidR="00282775">
        <w:t xml:space="preserve"> </w:t>
      </w:r>
      <w:r w:rsidR="00210564" w:rsidRPr="00210564">
        <w:t>over them w/ the mouse –</w:t>
      </w:r>
      <w:r>
        <w:t xml:space="preserve"> </w:t>
      </w:r>
      <w:r w:rsidR="00210564" w:rsidRPr="00210564">
        <w:t>a brief explanation</w:t>
      </w:r>
      <w:r>
        <w:t xml:space="preserve"> displays</w:t>
      </w:r>
      <w:r w:rsidR="00210564" w:rsidRPr="00210564">
        <w:t xml:space="preserve">. Shown below is the </w:t>
      </w:r>
      <w:r w:rsidR="00210564" w:rsidRPr="00210564">
        <w:rPr>
          <w:b/>
          <w:bCs/>
        </w:rPr>
        <w:t>Received As</w:t>
      </w:r>
      <w:r w:rsidR="00210564" w:rsidRPr="00210564">
        <w:t xml:space="preserve"> field (A) in the </w:t>
      </w:r>
      <w:r w:rsidR="00210564" w:rsidRPr="00210564">
        <w:rPr>
          <w:b/>
          <w:bCs/>
        </w:rPr>
        <w:t>Accession</w:t>
      </w:r>
      <w:r w:rsidR="00210564" w:rsidRPr="00210564">
        <w:t xml:space="preserve"> dataview.  The rollover states the actual database field name  (B) and then a description. In this case (C),</w:t>
      </w:r>
      <w:r w:rsidR="00282775">
        <w:t xml:space="preserve"> </w:t>
      </w:r>
      <w:r w:rsidR="00210564" w:rsidRPr="00210564">
        <w:t xml:space="preserve">the text indicates which </w:t>
      </w:r>
      <w:r w:rsidR="00210564" w:rsidRPr="00210564">
        <w:rPr>
          <w:b/>
          <w:bCs/>
        </w:rPr>
        <w:t>Code Group</w:t>
      </w:r>
      <w:r w:rsidR="00210564" w:rsidRPr="00210564">
        <w:t xml:space="preserve"> is being used for this field. </w:t>
      </w:r>
      <w:r w:rsidR="00210564" w:rsidRPr="00210564">
        <w:br/>
      </w:r>
      <w:r w:rsidR="00210564" w:rsidRPr="00210564">
        <w:drawing>
          <wp:inline distT="0" distB="0" distL="0" distR="0" wp14:anchorId="3165448B" wp14:editId="26E3C1DB">
            <wp:extent cx="5308600" cy="709515"/>
            <wp:effectExtent l="19050" t="19050" r="25400" b="14605"/>
            <wp:docPr id="507840466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40466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16" cy="7113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EAB5CF" w14:textId="047C0B36" w:rsidR="00282775" w:rsidRDefault="00210564" w:rsidP="00210564">
      <w:pPr>
        <w:numPr>
          <w:ilvl w:val="0"/>
          <w:numId w:val="5"/>
        </w:numPr>
      </w:pPr>
      <w:r w:rsidRPr="00210564">
        <w:t>These groups and codes are documented and can be reviewed from the GG project site. A spreadsheet of codes is provided (but is slightly out of date)</w:t>
      </w:r>
      <w:r w:rsidRPr="00210564">
        <w:br/>
      </w:r>
      <w:r w:rsidRPr="00210564">
        <w:drawing>
          <wp:inline distT="0" distB="0" distL="0" distR="0" wp14:anchorId="150367BC" wp14:editId="7C56BED4">
            <wp:extent cx="5359400" cy="1145171"/>
            <wp:effectExtent l="19050" t="19050" r="12700" b="17145"/>
            <wp:docPr id="1860150096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50096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38" cy="1150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10564">
        <w:br/>
      </w:r>
      <w:r w:rsidRPr="00210564">
        <w:br/>
        <w:t xml:space="preserve">SQL is also </w:t>
      </w:r>
      <w:r w:rsidR="00282775">
        <w:t xml:space="preserve">provided </w:t>
      </w:r>
      <w:r w:rsidRPr="00210564">
        <w:t xml:space="preserve">in that </w:t>
      </w:r>
      <w:r w:rsidR="00282775">
        <w:t xml:space="preserve">workbook </w:t>
      </w:r>
      <w:r w:rsidRPr="00210564">
        <w:t>so that you can run SQL against your own database:</w:t>
      </w:r>
      <w:r w:rsidRPr="00210564">
        <w:br/>
      </w:r>
      <w:r w:rsidRPr="00210564">
        <w:drawing>
          <wp:inline distT="0" distB="0" distL="0" distR="0" wp14:anchorId="3EAF459A" wp14:editId="51065E26">
            <wp:extent cx="5394937" cy="2241550"/>
            <wp:effectExtent l="19050" t="19050" r="15875" b="25400"/>
            <wp:docPr id="700937554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37554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72" cy="2250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10564">
        <w:br/>
      </w:r>
    </w:p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815"/>
        <w:gridCol w:w="8833"/>
      </w:tblGrid>
      <w:tr w:rsidR="00282775" w:rsidRPr="00597272" w14:paraId="7CEDFEE0" w14:textId="77777777" w:rsidTr="006F445F">
        <w:tc>
          <w:tcPr>
            <w:tcW w:w="815" w:type="dxa"/>
          </w:tcPr>
          <w:p w14:paraId="47003779" w14:textId="77777777" w:rsidR="00282775" w:rsidRPr="00597272" w:rsidRDefault="00282775" w:rsidP="006F445F">
            <w:pPr>
              <w:pStyle w:val="NormalInTble"/>
              <w:jc w:val="right"/>
              <w:rPr>
                <w:b/>
              </w:rPr>
            </w:pPr>
            <w:r w:rsidRPr="009B78BF">
              <w:rPr>
                <w:noProof/>
                <w:sz w:val="20"/>
                <w:szCs w:val="20"/>
              </w:rPr>
              <w:drawing>
                <wp:inline distT="0" distB="0" distL="0" distR="0" wp14:anchorId="5157DDB8" wp14:editId="32E1CFE9">
                  <wp:extent cx="380365" cy="457835"/>
                  <wp:effectExtent l="0" t="0" r="635" b="0"/>
                  <wp:docPr id="369356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28782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6E5CE5EF" w14:textId="11070BB8" w:rsidR="00282775" w:rsidRPr="009E61E8" w:rsidRDefault="00282775" w:rsidP="006F445F">
            <w:pPr>
              <w:pStyle w:val="NormalInTble"/>
            </w:pPr>
            <w:r>
              <w:t>R</w:t>
            </w:r>
            <w:r w:rsidRPr="00210564">
              <w:t>unning SQL via the Public Website</w:t>
            </w:r>
            <w:r>
              <w:t xml:space="preserve"> is </w:t>
            </w:r>
            <w:r>
              <w:t xml:space="preserve">documented </w:t>
            </w:r>
            <w:r>
              <w:t>fully</w:t>
            </w:r>
            <w:r>
              <w:t xml:space="preserve"> online</w:t>
            </w:r>
            <w:r>
              <w:t xml:space="preserve">.  </w:t>
            </w:r>
            <w:r>
              <w:t>Briefly, a</w:t>
            </w:r>
            <w:r w:rsidRPr="00210564">
              <w:t xml:space="preserve"> CT </w:t>
            </w:r>
            <w:r>
              <w:t xml:space="preserve">user </w:t>
            </w:r>
            <w:r w:rsidRPr="00210564">
              <w:t xml:space="preserve">account who has a Public Website account can run SQL queries. ( See </w:t>
            </w:r>
            <w:hyperlink r:id="rId17" w:history="1">
              <w:r w:rsidRPr="00210564">
                <w:rPr>
                  <w:rStyle w:val="Hyperlink"/>
                </w:rPr>
                <w:t>http://grin-global.org/sql_examples.htm</w:t>
              </w:r>
            </w:hyperlink>
            <w:r w:rsidRPr="00210564">
              <w:t xml:space="preserve"> )</w:t>
            </w:r>
            <w:r>
              <w:br/>
            </w:r>
          </w:p>
        </w:tc>
      </w:tr>
    </w:tbl>
    <w:p w14:paraId="123929A2" w14:textId="77777777" w:rsidR="0015062F" w:rsidRDefault="0015062F" w:rsidP="0015062F"/>
    <w:p w14:paraId="10768C69" w14:textId="77777777" w:rsidR="0015062F" w:rsidRDefault="0015062F">
      <w:r>
        <w:br w:type="page"/>
      </w:r>
    </w:p>
    <w:p w14:paraId="36AA045D" w14:textId="5AA49D41" w:rsidR="00210564" w:rsidRPr="00210564" w:rsidRDefault="00210564" w:rsidP="007B6B18">
      <w:pPr>
        <w:numPr>
          <w:ilvl w:val="0"/>
          <w:numId w:val="5"/>
        </w:numPr>
      </w:pPr>
      <w:r w:rsidRPr="00210564">
        <w:lastRenderedPageBreak/>
        <w:t xml:space="preserve">An Administrator can use the </w:t>
      </w:r>
      <w:r w:rsidRPr="00210564">
        <w:rPr>
          <w:i/>
          <w:iCs/>
        </w:rPr>
        <w:t>Admin Tool</w:t>
      </w:r>
      <w:r w:rsidRPr="00210564">
        <w:t xml:space="preserve"> to review (&amp; edit the Codes, Titles, and Descriptions) all the Code Groups:</w:t>
      </w:r>
      <w:r w:rsidRPr="00210564">
        <w:br/>
      </w:r>
      <w:r w:rsidRPr="00210564">
        <w:drawing>
          <wp:inline distT="0" distB="0" distL="0" distR="0" wp14:anchorId="650E0886" wp14:editId="456085B5">
            <wp:extent cx="5471757" cy="2552700"/>
            <wp:effectExtent l="19050" t="19050" r="15240" b="19050"/>
            <wp:docPr id="125534828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4828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61" cy="2568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10564">
        <w:br/>
      </w:r>
      <w:r w:rsidRPr="00210564">
        <w:br/>
      </w:r>
      <w:r w:rsidRPr="00210564">
        <w:drawing>
          <wp:inline distT="0" distB="0" distL="0" distR="0" wp14:anchorId="6669E5E1" wp14:editId="7C0EA330">
            <wp:extent cx="5498625" cy="2746375"/>
            <wp:effectExtent l="19050" t="19050" r="26035" b="15875"/>
            <wp:docPr id="1715654262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54262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71" cy="27485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10564">
        <w:br/>
      </w:r>
    </w:p>
    <w:p w14:paraId="5763D49C" w14:textId="23952C4F" w:rsidR="0015062F" w:rsidRPr="00210564" w:rsidRDefault="00210564" w:rsidP="0015062F">
      <w:pPr>
        <w:numPr>
          <w:ilvl w:val="0"/>
          <w:numId w:val="5"/>
        </w:numPr>
      </w:pPr>
      <w:r w:rsidRPr="00210564">
        <w:lastRenderedPageBreak/>
        <w:t xml:space="preserve">A CT user can also review the </w:t>
      </w:r>
      <w:r w:rsidRPr="00210564">
        <w:rPr>
          <w:b/>
          <w:bCs/>
        </w:rPr>
        <w:t>Code Groups</w:t>
      </w:r>
      <w:r w:rsidRPr="00210564">
        <w:t xml:space="preserve"> and their respective </w:t>
      </w:r>
      <w:r w:rsidRPr="00210564">
        <w:rPr>
          <w:b/>
          <w:bCs/>
        </w:rPr>
        <w:t>Codes</w:t>
      </w:r>
      <w:r w:rsidRPr="00210564">
        <w:t xml:space="preserve">. Below, my current CT list was empty – this allows all codes to display in the </w:t>
      </w:r>
      <w:r w:rsidRPr="00210564">
        <w:rPr>
          <w:b/>
          <w:bCs/>
        </w:rPr>
        <w:t>Code Value Lang</w:t>
      </w:r>
      <w:r w:rsidRPr="00210564">
        <w:t xml:space="preserve"> dataview: </w:t>
      </w:r>
      <w:r w:rsidRPr="00210564">
        <w:br/>
      </w:r>
      <w:r w:rsidRPr="00210564">
        <w:drawing>
          <wp:inline distT="0" distB="0" distL="0" distR="0" wp14:anchorId="07A4C37B" wp14:editId="1B240CA9">
            <wp:extent cx="5391150" cy="2669656"/>
            <wp:effectExtent l="0" t="0" r="0" b="0"/>
            <wp:docPr id="868811903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11903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02" cy="26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E5994" w14:textId="3EF04BB5" w:rsidR="00210564" w:rsidRDefault="00210564" w:rsidP="00210564"/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815"/>
        <w:gridCol w:w="8833"/>
      </w:tblGrid>
      <w:tr w:rsidR="0015062F" w:rsidRPr="00597272" w14:paraId="6CD4CEC3" w14:textId="77777777" w:rsidTr="006F445F">
        <w:tc>
          <w:tcPr>
            <w:tcW w:w="815" w:type="dxa"/>
          </w:tcPr>
          <w:p w14:paraId="415A1CAC" w14:textId="77777777" w:rsidR="0015062F" w:rsidRPr="00597272" w:rsidRDefault="0015062F" w:rsidP="006F445F">
            <w:pPr>
              <w:pStyle w:val="NormalInTble"/>
              <w:jc w:val="right"/>
              <w:rPr>
                <w:b/>
              </w:rPr>
            </w:pPr>
            <w:r w:rsidRPr="009B78BF">
              <w:rPr>
                <w:noProof/>
                <w:sz w:val="20"/>
                <w:szCs w:val="20"/>
              </w:rPr>
              <w:drawing>
                <wp:inline distT="0" distB="0" distL="0" distR="0" wp14:anchorId="3B0D115E" wp14:editId="7F6006CE">
                  <wp:extent cx="380365" cy="457835"/>
                  <wp:effectExtent l="0" t="0" r="635" b="0"/>
                  <wp:docPr id="13187926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28782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390AC282" w14:textId="204964EB" w:rsidR="0015062F" w:rsidRPr="009E61E8" w:rsidRDefault="0015062F" w:rsidP="006F445F">
            <w:pPr>
              <w:pStyle w:val="NormalInTble"/>
            </w:pPr>
            <w:r w:rsidRPr="00210564">
              <w:t>An organization should dedicate one person to manage the Code Groups and Codes.  Only that person should add/delete/edit these. It does not need to be the GG database administrator (DBA). Users can make suggestions to meet their needs.</w:t>
            </w:r>
            <w:r>
              <w:br/>
            </w:r>
            <w:r>
              <w:br/>
            </w:r>
          </w:p>
        </w:tc>
      </w:tr>
      <w:tr w:rsidR="0015062F" w:rsidRPr="00597272" w14:paraId="674E38ED" w14:textId="77777777" w:rsidTr="006F445F">
        <w:tc>
          <w:tcPr>
            <w:tcW w:w="815" w:type="dxa"/>
          </w:tcPr>
          <w:p w14:paraId="5F99F27C" w14:textId="77777777" w:rsidR="0015062F" w:rsidRPr="00597272" w:rsidRDefault="0015062F" w:rsidP="006F445F">
            <w:pPr>
              <w:pStyle w:val="NormalInTble"/>
              <w:jc w:val="right"/>
              <w:rPr>
                <w:b/>
              </w:rPr>
            </w:pPr>
            <w:r w:rsidRPr="000408B5">
              <w:rPr>
                <w:noProof/>
              </w:rPr>
              <w:drawing>
                <wp:inline distT="0" distB="0" distL="0" distR="0" wp14:anchorId="3EEAC42C" wp14:editId="4F74B149">
                  <wp:extent cx="457200" cy="480290"/>
                  <wp:effectExtent l="0" t="0" r="0" b="0"/>
                  <wp:docPr id="13116772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41300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2FF8652D" w14:textId="1FFC9A2B" w:rsidR="0015062F" w:rsidRPr="009E61E8" w:rsidRDefault="0015062F" w:rsidP="006F445F">
            <w:pPr>
              <w:pStyle w:val="NormalInTble"/>
            </w:pPr>
            <w:r>
              <w:t xml:space="preserve">Administrators: </w:t>
            </w:r>
            <w:r>
              <w:t xml:space="preserve"> </w:t>
            </w:r>
            <w:r w:rsidRPr="00210564">
              <w:t>recommend</w:t>
            </w:r>
            <w:r>
              <w:t>ed</w:t>
            </w:r>
            <w:r w:rsidRPr="00210564">
              <w:t xml:space="preserve"> – </w:t>
            </w:r>
            <w:r>
              <w:t xml:space="preserve">when implementing GG in a genebank, </w:t>
            </w:r>
            <w:r w:rsidRPr="00210564">
              <w:t xml:space="preserve">do not delete </w:t>
            </w:r>
            <w:r w:rsidRPr="00210564">
              <w:rPr>
                <w:i/>
                <w:iCs/>
              </w:rPr>
              <w:t>any</w:t>
            </w:r>
            <w:r w:rsidRPr="00210564">
              <w:t xml:space="preserve"> Code Groups (ever), and initially, do not delete any Codes.  </w:t>
            </w:r>
            <w:r w:rsidRPr="00210564">
              <w:rPr>
                <w:i/>
                <w:iCs/>
              </w:rPr>
              <w:t>Use GG for a</w:t>
            </w:r>
            <w:r>
              <w:rPr>
                <w:i/>
                <w:iCs/>
              </w:rPr>
              <w:t xml:space="preserve"> </w:t>
            </w:r>
            <w:r w:rsidRPr="00210564">
              <w:rPr>
                <w:i/>
                <w:iCs/>
              </w:rPr>
              <w:t>while.</w:t>
            </w:r>
            <w:r w:rsidRPr="00210564">
              <w:t xml:space="preserve">  Get user suggestions as you test/proceed. Keep a record of requested changes, and then before implementing in production, make changes and then try them.  </w:t>
            </w:r>
            <w:r>
              <w:br/>
            </w:r>
            <w:r>
              <w:br/>
            </w:r>
            <w:r w:rsidRPr="00210564">
              <w:t>The USDA has been using GG for many years, and every  month or two, someone suggests a new Code to meet their needs. At the USDA, an Advisory Committee meets monthly to review (among other things) these requests.</w:t>
            </w:r>
          </w:p>
        </w:tc>
      </w:tr>
    </w:tbl>
    <w:p w14:paraId="37226490" w14:textId="77777777" w:rsidR="0015062F" w:rsidRDefault="0015062F" w:rsidP="0015062F"/>
    <w:p w14:paraId="219178CB" w14:textId="6BBFFA40" w:rsidR="0015062F" w:rsidRDefault="0015062F" w:rsidP="0015062F"/>
    <w:sectPr w:rsidR="0015062F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81A9B1" w14:textId="77777777" w:rsidR="0063743F" w:rsidRDefault="0063743F" w:rsidP="00282775">
      <w:pPr>
        <w:spacing w:after="0" w:line="240" w:lineRule="auto"/>
      </w:pPr>
      <w:r>
        <w:separator/>
      </w:r>
    </w:p>
  </w:endnote>
  <w:endnote w:type="continuationSeparator" w:id="0">
    <w:p w14:paraId="4A585194" w14:textId="77777777" w:rsidR="0063743F" w:rsidRDefault="0063743F" w:rsidP="00282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9101C" w14:textId="10ACC9F3" w:rsidR="00282775" w:rsidRDefault="0028277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9FD66" w14:textId="77777777" w:rsidR="0063743F" w:rsidRDefault="0063743F" w:rsidP="00282775">
      <w:pPr>
        <w:spacing w:after="0" w:line="240" w:lineRule="auto"/>
      </w:pPr>
      <w:r>
        <w:separator/>
      </w:r>
    </w:p>
  </w:footnote>
  <w:footnote w:type="continuationSeparator" w:id="0">
    <w:p w14:paraId="3155F246" w14:textId="77777777" w:rsidR="0063743F" w:rsidRDefault="0063743F" w:rsidP="00282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96106"/>
    <w:multiLevelType w:val="hybridMultilevel"/>
    <w:tmpl w:val="089A4AD2"/>
    <w:lvl w:ilvl="0" w:tplc="BCA487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A12BFC"/>
    <w:multiLevelType w:val="singleLevel"/>
    <w:tmpl w:val="DF5EA55C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F0B17DA"/>
    <w:multiLevelType w:val="hybridMultilevel"/>
    <w:tmpl w:val="A4D05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128709">
    <w:abstractNumId w:val="1"/>
  </w:num>
  <w:num w:numId="2" w16cid:durableId="798180408">
    <w:abstractNumId w:val="0"/>
  </w:num>
  <w:num w:numId="3" w16cid:durableId="1208109864">
    <w:abstractNumId w:val="1"/>
  </w:num>
  <w:num w:numId="4" w16cid:durableId="55593566">
    <w:abstractNumId w:val="0"/>
  </w:num>
  <w:num w:numId="5" w16cid:durableId="9313087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564"/>
    <w:rsid w:val="00043FF2"/>
    <w:rsid w:val="000738B8"/>
    <w:rsid w:val="0015062F"/>
    <w:rsid w:val="001C0B19"/>
    <w:rsid w:val="00210564"/>
    <w:rsid w:val="00282775"/>
    <w:rsid w:val="00324431"/>
    <w:rsid w:val="003652D5"/>
    <w:rsid w:val="003F0B97"/>
    <w:rsid w:val="00420B02"/>
    <w:rsid w:val="006152CF"/>
    <w:rsid w:val="0063743F"/>
    <w:rsid w:val="00697888"/>
    <w:rsid w:val="006D290B"/>
    <w:rsid w:val="007235DA"/>
    <w:rsid w:val="007D60F7"/>
    <w:rsid w:val="0095112D"/>
    <w:rsid w:val="00B32AD0"/>
    <w:rsid w:val="00BA0E99"/>
    <w:rsid w:val="00BD7771"/>
    <w:rsid w:val="00C000AD"/>
    <w:rsid w:val="00C15D21"/>
    <w:rsid w:val="00D24464"/>
    <w:rsid w:val="00D50498"/>
    <w:rsid w:val="00DA5794"/>
    <w:rsid w:val="00E479E5"/>
    <w:rsid w:val="00EA3C8F"/>
    <w:rsid w:val="00F4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E11C8"/>
  <w15:chartTrackingRefBased/>
  <w15:docId w15:val="{C07F2554-C371-4F22-BCBE-EBB94B5DE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B19"/>
  </w:style>
  <w:style w:type="paragraph" w:styleId="Heading1">
    <w:name w:val="heading 1"/>
    <w:basedOn w:val="Normal"/>
    <w:next w:val="Normal"/>
    <w:link w:val="Heading1Char"/>
    <w:uiPriority w:val="9"/>
    <w:qFormat/>
    <w:rsid w:val="001C0B19"/>
    <w:pPr>
      <w:keepNext/>
      <w:keepLines/>
      <w:spacing w:before="480" w:after="0"/>
      <w:outlineLvl w:val="0"/>
    </w:pPr>
    <w:rPr>
      <w:rFonts w:ascii="Arial Bold" w:eastAsia="Times New Roman" w:hAnsi="Arial Bold" w:cs="Times New Roman"/>
      <w:b/>
      <w:bCs/>
      <w:smallCaps/>
      <w:color w:val="365F91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1C0B19"/>
    <w:pPr>
      <w:keepNext/>
      <w:pBdr>
        <w:bottom w:val="single" w:sz="2" w:space="1" w:color="365F91"/>
      </w:pBdr>
      <w:spacing w:after="360"/>
      <w:outlineLvl w:val="1"/>
    </w:pPr>
    <w:rPr>
      <w:rFonts w:eastAsiaTheme="majorEastAsia" w:cs="Arial"/>
      <w:bCs/>
      <w:iCs/>
      <w:color w:val="071320" w:themeColor="text2" w:themeShade="80"/>
      <w:spacing w:val="24"/>
      <w:sz w:val="4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0B19"/>
    <w:pPr>
      <w:keepNext/>
      <w:keepLines/>
      <w:spacing w:before="120"/>
      <w:outlineLvl w:val="2"/>
    </w:pPr>
    <w:rPr>
      <w:rFonts w:eastAsiaTheme="majorEastAsia" w:cstheme="majorBidi"/>
      <w:bCs/>
      <w:color w:val="071320" w:themeColor="text2" w:themeShade="80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0B19"/>
    <w:pPr>
      <w:keepNext/>
      <w:spacing w:before="120" w:after="0"/>
      <w:outlineLvl w:val="3"/>
    </w:pPr>
    <w:rPr>
      <w:rFonts w:eastAsia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0B19"/>
    <w:pPr>
      <w:keepNext/>
      <w:keepLines/>
      <w:spacing w:before="120" w:after="0"/>
      <w:outlineLvl w:val="4"/>
    </w:pPr>
    <w:rPr>
      <w:rFonts w:eastAsiaTheme="majorEastAsia" w:cstheme="majorBidi"/>
      <w:b/>
      <w:color w:val="006633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C0B1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C0B19"/>
    <w:pPr>
      <w:spacing w:before="240" w:after="60"/>
      <w:outlineLvl w:val="6"/>
    </w:pPr>
    <w:rPr>
      <w:rFonts w:eastAsiaTheme="minorEastAsia"/>
      <w:b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05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05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Like">
    <w:name w:val="Heading2Like"/>
    <w:basedOn w:val="Heading2"/>
    <w:next w:val="Normal"/>
    <w:qFormat/>
    <w:rsid w:val="001C0B19"/>
    <w:pPr>
      <w:spacing w:after="480"/>
    </w:pPr>
    <w:rPr>
      <w:rFonts w:eastAsia="Times New Roman"/>
    </w:rPr>
  </w:style>
  <w:style w:type="character" w:customStyle="1" w:styleId="Heading2Char">
    <w:name w:val="Heading 2 Char"/>
    <w:basedOn w:val="DefaultParagraphFont"/>
    <w:link w:val="Heading2"/>
    <w:rsid w:val="001C0B19"/>
    <w:rPr>
      <w:rFonts w:ascii="Calibri" w:eastAsiaTheme="majorEastAsia" w:hAnsi="Calibri" w:cs="Arial"/>
      <w:bCs/>
      <w:iCs/>
      <w:color w:val="071320" w:themeColor="text2" w:themeShade="80"/>
      <w:spacing w:val="24"/>
      <w:kern w:val="0"/>
      <w:sz w:val="48"/>
      <w:szCs w:val="28"/>
      <w14:ligatures w14:val="none"/>
    </w:rPr>
  </w:style>
  <w:style w:type="paragraph" w:customStyle="1" w:styleId="NormalInTble">
    <w:name w:val="NormalInTble"/>
    <w:basedOn w:val="Normal"/>
    <w:rsid w:val="001C0B19"/>
    <w:pPr>
      <w:spacing w:before="60" w:after="60"/>
    </w:pPr>
    <w:rPr>
      <w:rFonts w:eastAsia="Times New Roman" w:cs="Times New Roman"/>
      <w:szCs w:val="24"/>
    </w:rPr>
  </w:style>
  <w:style w:type="paragraph" w:customStyle="1" w:styleId="Body">
    <w:name w:val="Body"/>
    <w:basedOn w:val="Normal"/>
    <w:qFormat/>
    <w:rsid w:val="001C0B19"/>
    <w:pPr>
      <w:ind w:left="720"/>
    </w:pPr>
    <w:rPr>
      <w:rFonts w:ascii="Arial" w:eastAsia="Calibri" w:hAnsi="Arial" w:cs="Times New Roman"/>
    </w:rPr>
  </w:style>
  <w:style w:type="paragraph" w:customStyle="1" w:styleId="BlockQuotation">
    <w:name w:val="Block Quotation"/>
    <w:basedOn w:val="Normal"/>
    <w:rsid w:val="001C0B19"/>
    <w:pPr>
      <w:keepNext/>
      <w:pBdr>
        <w:bottom w:val="single" w:sz="12" w:space="9" w:color="000000"/>
      </w:pBdr>
      <w:shd w:val="clear" w:color="808080" w:fill="auto"/>
      <w:tabs>
        <w:tab w:val="left" w:pos="360"/>
      </w:tabs>
    </w:pPr>
    <w:rPr>
      <w:rFonts w:ascii="Times New Roman" w:eastAsia="Times New Roman" w:hAnsi="Times New Roman" w:cs="Times New Roman"/>
      <w:szCs w:val="20"/>
    </w:rPr>
  </w:style>
  <w:style w:type="paragraph" w:customStyle="1" w:styleId="BlockQuotationFirst">
    <w:name w:val="Block Quotation First"/>
    <w:basedOn w:val="Normal"/>
    <w:next w:val="BlockQuotation"/>
    <w:rsid w:val="001C0B19"/>
    <w:pPr>
      <w:keepNext/>
      <w:keepLines/>
      <w:pBdr>
        <w:top w:val="single" w:sz="12" w:space="4" w:color="000000"/>
      </w:pBdr>
      <w:tabs>
        <w:tab w:val="left" w:pos="360"/>
      </w:tabs>
      <w:spacing w:after="0"/>
    </w:pPr>
    <w:rPr>
      <w:rFonts w:ascii="Arial" w:eastAsia="Times New Roman" w:hAnsi="Arial" w:cs="Times New Roman"/>
      <w:b/>
      <w:position w:val="16"/>
      <w:szCs w:val="20"/>
    </w:rPr>
  </w:style>
  <w:style w:type="paragraph" w:customStyle="1" w:styleId="Bullet">
    <w:name w:val="Bullet"/>
    <w:basedOn w:val="Normal"/>
    <w:next w:val="Normal"/>
    <w:rsid w:val="001C0B19"/>
    <w:pPr>
      <w:keepNext/>
      <w:numPr>
        <w:numId w:val="3"/>
      </w:numPr>
      <w:tabs>
        <w:tab w:val="right" w:pos="0"/>
      </w:tabs>
      <w:spacing w:after="0"/>
    </w:pPr>
    <w:rPr>
      <w:rFonts w:eastAsia="Times New Roman" w:cs="Times New Roman"/>
      <w:noProof/>
      <w:szCs w:val="20"/>
    </w:rPr>
  </w:style>
  <w:style w:type="paragraph" w:customStyle="1" w:styleId="definitions">
    <w:name w:val="definitions"/>
    <w:basedOn w:val="Normal"/>
    <w:qFormat/>
    <w:rsid w:val="001C0B19"/>
    <w:pPr>
      <w:ind w:left="1440" w:hanging="1440"/>
    </w:pPr>
    <w:rPr>
      <w:rFonts w:cs="Times New Roman"/>
      <w:b/>
    </w:rPr>
  </w:style>
  <w:style w:type="paragraph" w:customStyle="1" w:styleId="descriptionsmaller">
    <w:name w:val="description_smaller"/>
    <w:basedOn w:val="Normal"/>
    <w:next w:val="Normal"/>
    <w:qFormat/>
    <w:rsid w:val="001C0B19"/>
    <w:rPr>
      <w:rFonts w:cs="Times New Roman"/>
      <w:sz w:val="20"/>
      <w:szCs w:val="20"/>
    </w:rPr>
  </w:style>
  <w:style w:type="paragraph" w:customStyle="1" w:styleId="footerodd">
    <w:name w:val="footer_odd"/>
    <w:basedOn w:val="Footer"/>
    <w:qFormat/>
    <w:rsid w:val="001C0B19"/>
    <w:pPr>
      <w:pBdr>
        <w:top w:val="single" w:sz="2" w:space="1" w:color="1F497D"/>
      </w:pBdr>
      <w:tabs>
        <w:tab w:val="clear" w:pos="4680"/>
      </w:tabs>
    </w:pPr>
    <w:rPr>
      <w:rFonts w:cs="Times New Roman"/>
      <w:color w:val="7F7F7F" w:themeColor="text1" w:themeTint="8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C0B19"/>
    <w:pPr>
      <w:tabs>
        <w:tab w:val="center" w:pos="4680"/>
        <w:tab w:val="right" w:pos="9360"/>
      </w:tabs>
      <w:spacing w:after="0"/>
    </w:pPr>
    <w:rPr>
      <w:rFonts w:ascii="Arial" w:eastAsia="Calibri" w:hAnsi="Arial"/>
    </w:rPr>
  </w:style>
  <w:style w:type="character" w:customStyle="1" w:styleId="FooterChar">
    <w:name w:val="Footer Char"/>
    <w:basedOn w:val="DefaultParagraphFont"/>
    <w:link w:val="Footer"/>
    <w:uiPriority w:val="99"/>
    <w:rsid w:val="001C0B19"/>
    <w:rPr>
      <w:rFonts w:ascii="Arial" w:eastAsia="Calibri" w:hAnsi="Arial"/>
      <w:kern w:val="0"/>
      <w:sz w:val="22"/>
      <w:szCs w:val="22"/>
      <w14:ligatures w14:val="none"/>
    </w:rPr>
  </w:style>
  <w:style w:type="paragraph" w:customStyle="1" w:styleId="footereven">
    <w:name w:val="footer_even"/>
    <w:basedOn w:val="footerodd"/>
    <w:qFormat/>
    <w:rsid w:val="001C0B19"/>
    <w:rPr>
      <w:color w:val="7F7F7F"/>
      <w:spacing w:val="60"/>
    </w:rPr>
  </w:style>
  <w:style w:type="paragraph" w:customStyle="1" w:styleId="hdg">
    <w:name w:val="hdg"/>
    <w:basedOn w:val="Normal"/>
    <w:qFormat/>
    <w:rsid w:val="001C0B19"/>
    <w:pPr>
      <w:spacing w:after="120"/>
    </w:pPr>
    <w:rPr>
      <w:rFonts w:eastAsia="Times New Roman" w:cs="Times New Roman"/>
      <w:b/>
      <w:color w:val="006C31"/>
      <w:sz w:val="24"/>
      <w:szCs w:val="24"/>
    </w:rPr>
  </w:style>
  <w:style w:type="paragraph" w:customStyle="1" w:styleId="Heading2like0">
    <w:name w:val="Heading2like"/>
    <w:basedOn w:val="Heading2"/>
    <w:next w:val="Normal"/>
    <w:qFormat/>
    <w:rsid w:val="001C0B19"/>
    <w:rPr>
      <w:rFonts w:eastAsia="Times New Roman"/>
    </w:rPr>
  </w:style>
  <w:style w:type="paragraph" w:customStyle="1" w:styleId="Heading3Like">
    <w:name w:val="Heading3Like"/>
    <w:basedOn w:val="Heading3"/>
    <w:next w:val="Normal"/>
    <w:qFormat/>
    <w:rsid w:val="001C0B19"/>
    <w:rPr>
      <w:rFonts w:eastAsia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1C0B19"/>
    <w:rPr>
      <w:rFonts w:ascii="Calibri" w:eastAsiaTheme="majorEastAsia" w:hAnsi="Calibri" w:cstheme="majorBidi"/>
      <w:bCs/>
      <w:color w:val="071320" w:themeColor="text2" w:themeShade="80"/>
      <w:kern w:val="0"/>
      <w:sz w:val="36"/>
      <w:szCs w:val="22"/>
      <w14:ligatures w14:val="none"/>
    </w:rPr>
  </w:style>
  <w:style w:type="paragraph" w:customStyle="1" w:styleId="Heading5Like">
    <w:name w:val="Heading5Like"/>
    <w:basedOn w:val="Heading5"/>
    <w:qFormat/>
    <w:rsid w:val="001C0B19"/>
    <w:rPr>
      <w:rFonts w:eastAsia="Times New Roman"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1C0B19"/>
    <w:rPr>
      <w:rFonts w:ascii="Calibri" w:eastAsiaTheme="majorEastAsia" w:hAnsi="Calibri" w:cstheme="majorBidi"/>
      <w:b/>
      <w:color w:val="006633"/>
      <w:kern w:val="0"/>
      <w:lang w:eastAsia="zh-CN"/>
      <w14:ligatures w14:val="none"/>
    </w:rPr>
  </w:style>
  <w:style w:type="paragraph" w:customStyle="1" w:styleId="imageindented">
    <w:name w:val="image_indented"/>
    <w:basedOn w:val="Normal"/>
    <w:next w:val="Normal"/>
    <w:qFormat/>
    <w:rsid w:val="001C0B19"/>
    <w:pPr>
      <w:spacing w:after="0"/>
      <w:ind w:left="720"/>
    </w:pPr>
    <w:rPr>
      <w:rFonts w:cs="Times New Roman"/>
    </w:rPr>
  </w:style>
  <w:style w:type="paragraph" w:customStyle="1" w:styleId="Normalnumbered">
    <w:name w:val="Normal_numbered"/>
    <w:basedOn w:val="Normal"/>
    <w:qFormat/>
    <w:rsid w:val="001C0B19"/>
    <w:pPr>
      <w:tabs>
        <w:tab w:val="left" w:pos="720"/>
      </w:tabs>
      <w:spacing w:after="120"/>
      <w:ind w:left="720" w:hanging="360"/>
    </w:pPr>
    <w:rPr>
      <w:rFonts w:cs="Times New Roman"/>
    </w:rPr>
  </w:style>
  <w:style w:type="paragraph" w:customStyle="1" w:styleId="list1">
    <w:name w:val="list1"/>
    <w:basedOn w:val="ListParagraph"/>
    <w:link w:val="list1Char"/>
    <w:qFormat/>
    <w:rsid w:val="001C0B19"/>
    <w:pPr>
      <w:spacing w:after="0"/>
      <w:ind w:left="1080" w:hanging="360"/>
    </w:pPr>
    <w:rPr>
      <w:rFonts w:cs="Segoe UI"/>
    </w:rPr>
  </w:style>
  <w:style w:type="character" w:customStyle="1" w:styleId="list1Char">
    <w:name w:val="list1 Char"/>
    <w:basedOn w:val="DefaultParagraphFont"/>
    <w:link w:val="list1"/>
    <w:rsid w:val="001C0B19"/>
    <w:rPr>
      <w:rFonts w:ascii="Calibri" w:eastAsia="SimSun" w:hAnsi="Calibri" w:cs="Segoe UI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1C0B1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C0B19"/>
    <w:rPr>
      <w:rFonts w:ascii="Arial Bold" w:eastAsia="Times New Roman" w:hAnsi="Arial Bold" w:cs="Times New Roman"/>
      <w:b/>
      <w:bCs/>
      <w:smallCaps/>
      <w:color w:val="365F91"/>
      <w:kern w:val="0"/>
      <w:sz w:val="36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1C0B19"/>
    <w:rPr>
      <w:rFonts w:ascii="Calibri" w:eastAsia="Times New Roman" w:hAnsi="Calibri" w:cs="Times New Roman"/>
      <w:b/>
      <w:bCs/>
      <w:kern w:val="0"/>
      <w:sz w:val="28"/>
      <w:szCs w:val="28"/>
      <w:lang w:eastAsia="zh-CN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1C0B19"/>
    <w:rPr>
      <w:rFonts w:asciiTheme="majorHAnsi" w:eastAsiaTheme="majorEastAsia" w:hAnsiTheme="majorHAnsi" w:cstheme="majorBidi"/>
      <w:i/>
      <w:iCs/>
      <w:color w:val="0F4761" w:themeColor="accent1" w:themeShade="BF"/>
      <w:kern w:val="0"/>
      <w:sz w:val="22"/>
      <w:szCs w:val="22"/>
      <w:lang w:eastAsia="zh-CN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1C0B19"/>
    <w:rPr>
      <w:rFonts w:eastAsiaTheme="minorEastAsia"/>
      <w:b/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C0B19"/>
    <w:pPr>
      <w:tabs>
        <w:tab w:val="right" w:pos="9360"/>
      </w:tabs>
      <w:spacing w:before="120" w:after="20"/>
    </w:pPr>
    <w:rPr>
      <w:rFonts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C0B19"/>
    <w:pPr>
      <w:tabs>
        <w:tab w:val="right" w:leader="dot" w:pos="9360"/>
      </w:tabs>
      <w:spacing w:after="40"/>
      <w:ind w:left="216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1C0B19"/>
    <w:pPr>
      <w:tabs>
        <w:tab w:val="right" w:leader="dot" w:pos="9360"/>
      </w:tabs>
      <w:spacing w:after="40"/>
      <w:ind w:left="432"/>
    </w:pPr>
    <w:rPr>
      <w:rFonts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1C0B19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1C0B19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1C0B19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1C0B19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1C0B19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1C0B19"/>
    <w:pPr>
      <w:spacing w:after="100"/>
      <w:ind w:left="1760"/>
    </w:pPr>
    <w:rPr>
      <w:rFonts w:eastAsiaTheme="minorEastAsia"/>
    </w:rPr>
  </w:style>
  <w:style w:type="paragraph" w:styleId="CommentText">
    <w:name w:val="annotation text"/>
    <w:basedOn w:val="Normal"/>
    <w:link w:val="CommentTextChar"/>
    <w:semiHidden/>
    <w:rsid w:val="001C0B19"/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C0B19"/>
    <w:rPr>
      <w:rFonts w:ascii="Calibri" w:eastAsia="SimSun" w:hAnsi="Calibri" w:cs="Times New Roman"/>
      <w:kern w:val="0"/>
      <w:sz w:val="20"/>
      <w:szCs w:val="20"/>
      <w:lang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C0B19"/>
    <w:pPr>
      <w:tabs>
        <w:tab w:val="center" w:pos="4680"/>
        <w:tab w:val="right" w:pos="9360"/>
      </w:tabs>
      <w:spacing w:after="0"/>
    </w:pPr>
    <w:rPr>
      <w:rFonts w:eastAsia="Calibri" w:cs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1C0B19"/>
    <w:rPr>
      <w:rFonts w:eastAsia="Calibri" w:cs="Times New Roman"/>
      <w:kern w:val="0"/>
      <w:sz w:val="20"/>
      <w:szCs w:val="22"/>
      <w14:ligatures w14:val="none"/>
    </w:rPr>
  </w:style>
  <w:style w:type="paragraph" w:styleId="Caption">
    <w:name w:val="caption"/>
    <w:basedOn w:val="Normal"/>
    <w:next w:val="Normal"/>
    <w:uiPriority w:val="35"/>
    <w:qFormat/>
    <w:rsid w:val="001C0B19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semiHidden/>
    <w:rsid w:val="001C0B19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1C0B19"/>
    <w:pPr>
      <w:spacing w:after="120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C0B19"/>
    <w:rPr>
      <w:rFonts w:ascii="Calibri" w:eastAsia="SimSun" w:hAnsi="Calibri" w:cs="Times New Roman"/>
      <w:kern w:val="0"/>
      <w:sz w:val="22"/>
      <w:szCs w:val="22"/>
      <w:lang w:eastAsia="zh-CN"/>
      <w14:ligatures w14:val="none"/>
    </w:rPr>
  </w:style>
  <w:style w:type="paragraph" w:styleId="BodyText2">
    <w:name w:val="Body Text 2"/>
    <w:basedOn w:val="Normal"/>
    <w:link w:val="BodyText2Char"/>
    <w:semiHidden/>
    <w:rsid w:val="001C0B19"/>
    <w:pPr>
      <w:keepNext/>
      <w:tabs>
        <w:tab w:val="left" w:pos="360"/>
        <w:tab w:val="left" w:pos="2520"/>
        <w:tab w:val="left" w:pos="5040"/>
        <w:tab w:val="left" w:pos="7560"/>
        <w:tab w:val="left" w:pos="10080"/>
      </w:tabs>
      <w:spacing w:after="0" w:line="244" w:lineRule="atLeast"/>
      <w:ind w:left="1800"/>
    </w:pPr>
    <w:rPr>
      <w:rFonts w:ascii="Times New Roman" w:eastAsia="Times New Roman" w:hAnsi="Times New Roman" w:cs="Times New Roman"/>
      <w:noProof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1C0B19"/>
    <w:rPr>
      <w:rFonts w:ascii="Times New Roman" w:eastAsia="Times New Roman" w:hAnsi="Times New Roman" w:cs="Times New Roman"/>
      <w:noProof/>
      <w:kern w:val="0"/>
      <w:sz w:val="22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1C0B1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0B19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1C0B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C0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C0B19"/>
    <w:rPr>
      <w:rFonts w:ascii="Calibri" w:eastAsia="SimSun" w:hAnsi="Calibri" w:cs="Times New Roman"/>
      <w:b/>
      <w:bCs/>
      <w:kern w:val="0"/>
      <w:sz w:val="20"/>
      <w:szCs w:val="20"/>
      <w:lang w:eastAsia="zh-C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B19"/>
    <w:pPr>
      <w:spacing w:after="0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19"/>
    <w:rPr>
      <w:rFonts w:ascii="Tahoma" w:eastAsia="Calibri" w:hAnsi="Tahoma" w:cs="Tahoma"/>
      <w:kern w:val="0"/>
      <w:sz w:val="16"/>
      <w:szCs w:val="16"/>
      <w14:ligatures w14:val="none"/>
    </w:rPr>
  </w:style>
  <w:style w:type="table" w:styleId="TableGrid">
    <w:name w:val="Table Grid"/>
    <w:basedOn w:val="TableNormal"/>
    <w:uiPriority w:val="59"/>
    <w:rsid w:val="001C0B19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IntenseEmphasis">
    <w:name w:val="Intense Emphasis"/>
    <w:basedOn w:val="DefaultParagraphFont"/>
    <w:uiPriority w:val="21"/>
    <w:qFormat/>
    <w:rsid w:val="001C0B19"/>
    <w:rPr>
      <w:i/>
      <w:iCs/>
      <w:color w:val="156082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1C0B19"/>
    <w:rPr>
      <w:color w:val="605E5C"/>
      <w:shd w:val="clear" w:color="auto" w:fill="E1DFD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05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05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05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05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056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05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05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056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05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05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05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98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www.grin-global.org/docs/gg_recommended_procedures.docx" TargetMode="External"/><Relationship Id="rId17" Type="http://schemas.openxmlformats.org/officeDocument/2006/relationships/hyperlink" Target="http://grin-global.org/sql_examples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grin-global.org/videos/codes.mp4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Reisinger, Marty</dc:creator>
  <cp:keywords/>
  <dc:description/>
  <cp:lastModifiedBy>Reisinger, Marty</cp:lastModifiedBy>
  <cp:revision>4</cp:revision>
  <dcterms:created xsi:type="dcterms:W3CDTF">2024-10-10T14:09:00Z</dcterms:created>
  <dcterms:modified xsi:type="dcterms:W3CDTF">2024-10-10T16:28:00Z</dcterms:modified>
</cp:coreProperties>
</file>